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75F5" w14:textId="1CF42897" w:rsidR="002575BA" w:rsidRDefault="00B23208" w:rsidP="00B23208">
      <w:pPr>
        <w:pStyle w:val="Heading1"/>
        <w:rPr>
          <w:lang w:val="et-EE"/>
        </w:rPr>
      </w:pPr>
      <w:r w:rsidRPr="00D83506">
        <w:rPr>
          <w:lang w:val="et-EE"/>
        </w:rPr>
        <w:t xml:space="preserve">Summary of </w:t>
      </w:r>
      <w:r w:rsidR="000A05EA">
        <w:rPr>
          <w:lang w:val="et-EE"/>
        </w:rPr>
        <w:t>C</w:t>
      </w:r>
      <w:r w:rsidRPr="00D83506">
        <w:rPr>
          <w:lang w:val="et-EE"/>
        </w:rPr>
        <w:t xml:space="preserve">onsultation </w:t>
      </w:r>
      <w:r w:rsidR="000A05EA">
        <w:rPr>
          <w:lang w:val="et-EE"/>
        </w:rPr>
        <w:t>F</w:t>
      </w:r>
      <w:r w:rsidRPr="00D83506">
        <w:rPr>
          <w:lang w:val="et-EE"/>
        </w:rPr>
        <w:t xml:space="preserve">eedback on the </w:t>
      </w:r>
      <w:r w:rsidR="000A05EA">
        <w:rPr>
          <w:lang w:val="et-EE"/>
        </w:rPr>
        <w:t>P</w:t>
      </w:r>
      <w:r w:rsidRPr="00D83506">
        <w:rPr>
          <w:lang w:val="et-EE"/>
        </w:rPr>
        <w:t xml:space="preserve">roposal for </w:t>
      </w:r>
      <w:r>
        <w:rPr>
          <w:lang w:val="et-EE"/>
        </w:rPr>
        <w:t>A</w:t>
      </w:r>
      <w:r w:rsidRPr="00D83506">
        <w:rPr>
          <w:lang w:val="et-EE"/>
        </w:rPr>
        <w:t xml:space="preserve">mendment of the </w:t>
      </w:r>
      <w:r>
        <w:rPr>
          <w:lang w:val="et-EE"/>
        </w:rPr>
        <w:t>F</w:t>
      </w:r>
      <w:r w:rsidRPr="00D83506">
        <w:rPr>
          <w:lang w:val="et-EE"/>
        </w:rPr>
        <w:t xml:space="preserve">innish, </w:t>
      </w:r>
      <w:r>
        <w:rPr>
          <w:lang w:val="et-EE"/>
        </w:rPr>
        <w:t>E</w:t>
      </w:r>
      <w:r w:rsidRPr="00D83506">
        <w:rPr>
          <w:lang w:val="et-EE"/>
        </w:rPr>
        <w:t xml:space="preserve">stonian, and </w:t>
      </w:r>
      <w:r>
        <w:rPr>
          <w:lang w:val="et-EE"/>
        </w:rPr>
        <w:t>L</w:t>
      </w:r>
      <w:r w:rsidRPr="00D83506">
        <w:rPr>
          <w:lang w:val="et-EE"/>
        </w:rPr>
        <w:t xml:space="preserve">atvian </w:t>
      </w:r>
      <w:r>
        <w:rPr>
          <w:lang w:val="et-EE"/>
        </w:rPr>
        <w:t>TSO</w:t>
      </w:r>
      <w:r w:rsidRPr="00D83506">
        <w:rPr>
          <w:lang w:val="et-EE"/>
        </w:rPr>
        <w:t xml:space="preserve">s’ common methodology for </w:t>
      </w:r>
      <w:r>
        <w:rPr>
          <w:lang w:val="et-EE"/>
        </w:rPr>
        <w:t>S</w:t>
      </w:r>
      <w:r w:rsidRPr="00D83506">
        <w:rPr>
          <w:lang w:val="et-EE"/>
        </w:rPr>
        <w:t xml:space="preserve">plitting </w:t>
      </w:r>
      <w:r>
        <w:rPr>
          <w:lang w:val="et-EE"/>
        </w:rPr>
        <w:t>L</w:t>
      </w:r>
      <w:r w:rsidRPr="00D83506">
        <w:rPr>
          <w:lang w:val="et-EE"/>
        </w:rPr>
        <w:t>ong-</w:t>
      </w:r>
      <w:r>
        <w:rPr>
          <w:lang w:val="et-EE"/>
        </w:rPr>
        <w:t>T</w:t>
      </w:r>
      <w:r w:rsidRPr="00D83506">
        <w:rPr>
          <w:lang w:val="et-EE"/>
        </w:rPr>
        <w:t xml:space="preserve">erm </w:t>
      </w:r>
      <w:r>
        <w:rPr>
          <w:lang w:val="et-EE"/>
        </w:rPr>
        <w:t>C</w:t>
      </w:r>
      <w:r w:rsidRPr="00D83506">
        <w:rPr>
          <w:lang w:val="et-EE"/>
        </w:rPr>
        <w:t>ross-</w:t>
      </w:r>
      <w:r>
        <w:rPr>
          <w:lang w:val="et-EE"/>
        </w:rPr>
        <w:t>Z</w:t>
      </w:r>
      <w:r w:rsidRPr="00D83506">
        <w:rPr>
          <w:lang w:val="et-EE"/>
        </w:rPr>
        <w:t xml:space="preserve">onal </w:t>
      </w:r>
      <w:r>
        <w:rPr>
          <w:lang w:val="et-EE"/>
        </w:rPr>
        <w:t>C</w:t>
      </w:r>
      <w:r w:rsidRPr="00D83506">
        <w:rPr>
          <w:lang w:val="et-EE"/>
        </w:rPr>
        <w:t xml:space="preserve">apacity in the </w:t>
      </w:r>
      <w:r>
        <w:rPr>
          <w:lang w:val="et-EE"/>
        </w:rPr>
        <w:t>B</w:t>
      </w:r>
      <w:r w:rsidRPr="00D83506">
        <w:rPr>
          <w:lang w:val="et-EE"/>
        </w:rPr>
        <w:t xml:space="preserve">altic </w:t>
      </w:r>
      <w:r>
        <w:rPr>
          <w:lang w:val="et-EE"/>
        </w:rPr>
        <w:t>CCR</w:t>
      </w:r>
    </w:p>
    <w:p w14:paraId="6D3F59EF" w14:textId="3F79EC51" w:rsidR="00526B26" w:rsidRDefault="00526B26" w:rsidP="002575BA">
      <w:pPr>
        <w:jc w:val="both"/>
        <w:rPr>
          <w:rFonts w:ascii="Aptos" w:hAnsi="Aptos"/>
          <w:b/>
          <w:bCs/>
          <w:lang w:val="et-EE"/>
        </w:rPr>
      </w:pPr>
      <w:r w:rsidRPr="00BB520C">
        <w:rPr>
          <w:rFonts w:ascii="Aptos" w:hAnsi="Aptos"/>
          <w:b/>
          <w:bCs/>
          <w:lang w:val="et-EE"/>
        </w:rPr>
        <w:t>31.03.2026</w:t>
      </w:r>
    </w:p>
    <w:p w14:paraId="63AA08A9" w14:textId="77777777" w:rsidR="000A2809" w:rsidRPr="00BB520C" w:rsidRDefault="000A2809" w:rsidP="002575BA">
      <w:pPr>
        <w:jc w:val="both"/>
        <w:rPr>
          <w:rFonts w:ascii="Aptos" w:hAnsi="Aptos"/>
          <w:b/>
          <w:bCs/>
          <w:lang w:val="et-EE"/>
        </w:rPr>
      </w:pPr>
    </w:p>
    <w:p w14:paraId="36095DD1" w14:textId="45802BF8" w:rsidR="006770CC" w:rsidRPr="00BB520C" w:rsidRDefault="006770CC" w:rsidP="006770CC">
      <w:pPr>
        <w:jc w:val="both"/>
        <w:rPr>
          <w:rFonts w:ascii="Aptos" w:hAnsi="Aptos"/>
          <w:lang w:val="et-EE"/>
        </w:rPr>
      </w:pPr>
      <w:r w:rsidRPr="00BB520C">
        <w:rPr>
          <w:rFonts w:ascii="Aptos" w:hAnsi="Aptos"/>
          <w:lang w:val="et-EE"/>
        </w:rPr>
        <w:t>The consultation was carried out through the ENTSO-E public consultation platform from 26 January to 26 February 2026. A total of 10 stakeholders submitted feedback, with three respondents providing additional comments directly to Elering’s contact person. In addition to this summary, a detailed table of all comments received during the ENTSO-E consultation, together with the corresponding TSO responses, is provided.</w:t>
      </w:r>
    </w:p>
    <w:p w14:paraId="43868A45" w14:textId="42726315" w:rsidR="006770CC" w:rsidRPr="00BB520C" w:rsidRDefault="006770CC" w:rsidP="006770CC">
      <w:pPr>
        <w:jc w:val="both"/>
        <w:rPr>
          <w:rFonts w:ascii="Aptos" w:hAnsi="Aptos"/>
          <w:lang w:val="et-EE"/>
        </w:rPr>
      </w:pPr>
      <w:r w:rsidRPr="00BB520C">
        <w:rPr>
          <w:rFonts w:ascii="Aptos" w:hAnsi="Aptos"/>
          <w:lang w:val="et-EE"/>
        </w:rPr>
        <w:t xml:space="preserve">This </w:t>
      </w:r>
      <w:r w:rsidR="00C66726" w:rsidRPr="00BB520C">
        <w:rPr>
          <w:rFonts w:ascii="Aptos" w:hAnsi="Aptos"/>
          <w:lang w:val="et-EE"/>
        </w:rPr>
        <w:t>summary</w:t>
      </w:r>
      <w:r w:rsidRPr="00BB520C">
        <w:rPr>
          <w:rFonts w:ascii="Aptos" w:hAnsi="Aptos"/>
          <w:lang w:val="et-EE"/>
        </w:rPr>
        <w:t xml:space="preserve"> provides a comprehensive, argument-driven assessment of market participants’ feedback on the proposal by the Finnish, Estonian, and Latvian TSOs for the Common Methodology for Splitting Long-Term Cross-Zonal Capacity in accordance with Article 16 of Commission Regulation (EU) 2016/1719 (FCA Regulation) (the “Splitting Methodology”), including the proposed reduction of FI–EE LTTR volumes. It presents both market participant (MP) arguments and the position of the Estonian and Finnish TSOs—Elering AS and Fingrid Oyj—supported by relevant regulatory references.</w:t>
      </w:r>
    </w:p>
    <w:p w14:paraId="3348D40E" w14:textId="77777777" w:rsidR="006770CC" w:rsidRPr="00BB520C" w:rsidRDefault="006770CC" w:rsidP="006770CC">
      <w:pPr>
        <w:jc w:val="both"/>
        <w:rPr>
          <w:rFonts w:ascii="Aptos" w:hAnsi="Aptos"/>
          <w:lang w:val="et-EE"/>
        </w:rPr>
      </w:pPr>
      <w:r w:rsidRPr="00BB520C">
        <w:rPr>
          <w:rFonts w:ascii="Aptos" w:hAnsi="Aptos"/>
          <w:lang w:val="et-EE"/>
        </w:rPr>
        <w:t>TSOs trust that this response clarifies for market participants and NRAs why the reduction of FI–EE LTTR volumes is proportionate, justified, and consistent with the EU regulatory framework.</w:t>
      </w:r>
    </w:p>
    <w:p w14:paraId="5CD7ECC9" w14:textId="77777777" w:rsidR="006770CC" w:rsidRPr="00BB520C" w:rsidRDefault="006770CC" w:rsidP="006770CC">
      <w:pPr>
        <w:jc w:val="both"/>
        <w:rPr>
          <w:rFonts w:ascii="Aptos" w:hAnsi="Aptos"/>
          <w:lang w:val="et-EE"/>
        </w:rPr>
      </w:pPr>
      <w:r w:rsidRPr="00BB520C">
        <w:rPr>
          <w:rFonts w:ascii="Aptos" w:hAnsi="Aptos"/>
          <w:lang w:val="et-EE"/>
        </w:rPr>
        <w:t>TSOs will also provide a break-even assessment as part of the proposal package, demonstrating the underlying economic rationale.</w:t>
      </w:r>
    </w:p>
    <w:p w14:paraId="1CE3F429" w14:textId="0AF7A8C3" w:rsidR="006770CC" w:rsidRPr="00BB520C" w:rsidRDefault="006770CC" w:rsidP="4801E5D8">
      <w:pPr>
        <w:jc w:val="both"/>
        <w:rPr>
          <w:rFonts w:ascii="Aptos" w:hAnsi="Aptos"/>
          <w:b/>
          <w:bCs/>
        </w:rPr>
      </w:pPr>
      <w:proofErr w:type="gramStart"/>
      <w:r w:rsidRPr="00BB520C">
        <w:rPr>
          <w:rFonts w:ascii="Aptos" w:hAnsi="Aptos"/>
          <w:b/>
          <w:bCs/>
        </w:rPr>
        <w:t>Taking into account</w:t>
      </w:r>
      <w:proofErr w:type="gramEnd"/>
      <w:r w:rsidRPr="00BB520C">
        <w:rPr>
          <w:rFonts w:ascii="Aptos" w:hAnsi="Aptos"/>
          <w:b/>
          <w:bCs/>
        </w:rPr>
        <w:t xml:space="preserve"> market participant feedback and applying more </w:t>
      </w:r>
      <w:r w:rsidR="007A5CDF">
        <w:rPr>
          <w:rFonts w:ascii="Aptos" w:hAnsi="Aptos"/>
          <w:b/>
          <w:bCs/>
        </w:rPr>
        <w:t>optimistic</w:t>
      </w:r>
      <w:r w:rsidR="007A5CDF" w:rsidRPr="00BB520C">
        <w:rPr>
          <w:rFonts w:ascii="Aptos" w:hAnsi="Aptos"/>
          <w:b/>
          <w:bCs/>
        </w:rPr>
        <w:t xml:space="preserve"> </w:t>
      </w:r>
      <w:r w:rsidRPr="00BB520C">
        <w:rPr>
          <w:rFonts w:ascii="Aptos" w:hAnsi="Aptos"/>
          <w:b/>
          <w:bCs/>
        </w:rPr>
        <w:t xml:space="preserve">assumptions for congestion income calculations (including price differences under normal and outage conditions, as well as LTTR prices), TSOs </w:t>
      </w:r>
      <w:r w:rsidR="341340C7" w:rsidRPr="00BB520C">
        <w:rPr>
          <w:rFonts w:ascii="Aptos" w:hAnsi="Aptos"/>
          <w:b/>
          <w:bCs/>
        </w:rPr>
        <w:t>are</w:t>
      </w:r>
      <w:r w:rsidRPr="00BB520C">
        <w:rPr>
          <w:rFonts w:ascii="Aptos" w:hAnsi="Aptos"/>
          <w:b/>
          <w:bCs/>
        </w:rPr>
        <w:t xml:space="preserve"> increasing the yearly volume to 200 MW and setting the monthly volume to 150 MW, while maintaining the total FI–EE LTTR volume at 350 MW. This approach aims to improve long-term hedging availability while preserving the firmness objective and keeping TSO financial risk at a limited level.</w:t>
      </w:r>
    </w:p>
    <w:p w14:paraId="17CEAA72" w14:textId="77777777" w:rsidR="00526B26" w:rsidRPr="006770CC" w:rsidRDefault="00526B26" w:rsidP="4801E5D8">
      <w:pPr>
        <w:jc w:val="both"/>
        <w:rPr>
          <w:b/>
          <w:bCs/>
        </w:rPr>
      </w:pPr>
    </w:p>
    <w:p w14:paraId="794B2F2B" w14:textId="3E1A9571" w:rsidR="00EB5384" w:rsidRPr="003F6681" w:rsidRDefault="00D31723" w:rsidP="009D7774">
      <w:pPr>
        <w:pStyle w:val="Heading2"/>
      </w:pPr>
      <w:r w:rsidRPr="003F6681">
        <w:lastRenderedPageBreak/>
        <w:t>1. Hedging Needs vs Firmness (Core Structural Conflict)</w:t>
      </w:r>
    </w:p>
    <w:p w14:paraId="1F36CD02" w14:textId="77777777" w:rsidR="00EB5384" w:rsidRPr="00BB520C" w:rsidRDefault="00D31723" w:rsidP="00052E3B">
      <w:pPr>
        <w:jc w:val="both"/>
        <w:rPr>
          <w:rFonts w:ascii="Aptos" w:hAnsi="Aptos"/>
          <w:i/>
          <w:iCs/>
        </w:rPr>
      </w:pPr>
      <w:r w:rsidRPr="00BB520C">
        <w:rPr>
          <w:rFonts w:ascii="Aptos" w:hAnsi="Aptos"/>
          <w:i/>
          <w:iCs/>
        </w:rPr>
        <w:t>MP argument: Baltic market lacks alternative hedging tools; FTR is essential and volumes must reflect this (FCA Art 3, Art 16(2)(a)).</w:t>
      </w:r>
    </w:p>
    <w:p w14:paraId="4C5AB5F1" w14:textId="77777777" w:rsidR="00EB5384" w:rsidRPr="00BB520C" w:rsidRDefault="00D31723" w:rsidP="00052E3B">
      <w:pPr>
        <w:jc w:val="both"/>
        <w:rPr>
          <w:rFonts w:ascii="Aptos" w:hAnsi="Aptos"/>
        </w:rPr>
      </w:pPr>
      <w:r w:rsidRPr="00BB520C">
        <w:rPr>
          <w:rFonts w:ascii="Aptos" w:hAnsi="Aptos"/>
        </w:rPr>
        <w:t>TSO position: FCA Art 16(2) requires the simultaneous fulfilment of three conditions: (a) hedging needs, (b) coherence with capacity calculation, and (c) no distortion of competition. Hedging availability cannot be assessed independently of firmness.</w:t>
      </w:r>
    </w:p>
    <w:p w14:paraId="3FF3D604" w14:textId="7AE76004" w:rsidR="00EB5384" w:rsidRPr="00BB520C" w:rsidRDefault="00D31723" w:rsidP="00052E3B">
      <w:pPr>
        <w:jc w:val="both"/>
        <w:rPr>
          <w:rFonts w:ascii="Aptos" w:hAnsi="Aptos"/>
        </w:rPr>
      </w:pPr>
      <w:r w:rsidRPr="00BB520C">
        <w:rPr>
          <w:rFonts w:ascii="Aptos" w:hAnsi="Aptos"/>
        </w:rPr>
        <w:t xml:space="preserve">This implies that firmness is as important as volume. ENTSO-E </w:t>
      </w:r>
      <w:r w:rsidR="00D86823" w:rsidRPr="00BB520C">
        <w:rPr>
          <w:rFonts w:ascii="Aptos" w:hAnsi="Aptos"/>
        </w:rPr>
        <w:t>position paper</w:t>
      </w:r>
      <w:r w:rsidR="00D86823" w:rsidRPr="00BB520C">
        <w:rPr>
          <w:rStyle w:val="FootnoteReference"/>
          <w:rFonts w:ascii="Aptos" w:hAnsi="Aptos"/>
        </w:rPr>
        <w:footnoteReference w:id="1"/>
      </w:r>
      <w:r w:rsidR="00F439A6" w:rsidRPr="00BB520C">
        <w:rPr>
          <w:rFonts w:ascii="Aptos" w:hAnsi="Aptos"/>
        </w:rPr>
        <w:t xml:space="preserve"> </w:t>
      </w:r>
      <w:r w:rsidRPr="00BB520C">
        <w:rPr>
          <w:rFonts w:ascii="Aptos" w:hAnsi="Aptos"/>
        </w:rPr>
        <w:t>emphasises that LTTRs are linked to physical system conditions and congestion income. Over-allocation above reliable capacity leads to curtailment risk and reduces firmness for all. ACER Opinion</w:t>
      </w:r>
      <w:r w:rsidR="00F17B89" w:rsidRPr="00BB520C">
        <w:rPr>
          <w:rStyle w:val="FootnoteReference"/>
          <w:rFonts w:ascii="Aptos" w:hAnsi="Aptos"/>
        </w:rPr>
        <w:footnoteReference w:id="2"/>
      </w:r>
      <w:r w:rsidRPr="00BB520C">
        <w:rPr>
          <w:rFonts w:ascii="Aptos" w:hAnsi="Aptos"/>
        </w:rPr>
        <w:t xml:space="preserve"> 02/2025 limits curtailment for </w:t>
      </w:r>
      <w:r w:rsidR="002501AE" w:rsidRPr="00BB520C">
        <w:rPr>
          <w:rFonts w:ascii="Aptos" w:hAnsi="Aptos"/>
        </w:rPr>
        <w:t>Force</w:t>
      </w:r>
      <w:r w:rsidR="00B7256F" w:rsidRPr="00BB520C">
        <w:rPr>
          <w:rFonts w:ascii="Aptos" w:hAnsi="Aptos"/>
        </w:rPr>
        <w:t xml:space="preserve"> </w:t>
      </w:r>
      <w:r w:rsidR="002501AE" w:rsidRPr="00BB520C">
        <w:rPr>
          <w:rFonts w:ascii="Aptos" w:hAnsi="Aptos"/>
        </w:rPr>
        <w:t xml:space="preserve">Majeure and </w:t>
      </w:r>
      <w:r w:rsidRPr="00BB520C">
        <w:rPr>
          <w:rFonts w:ascii="Aptos" w:hAnsi="Aptos"/>
        </w:rPr>
        <w:t xml:space="preserve">operational security; combined with </w:t>
      </w:r>
      <w:r w:rsidR="002501AE" w:rsidRPr="00BB520C">
        <w:rPr>
          <w:rFonts w:ascii="Aptos" w:hAnsi="Aptos"/>
        </w:rPr>
        <w:t xml:space="preserve">Estonian </w:t>
      </w:r>
      <w:r w:rsidRPr="00BB520C">
        <w:rPr>
          <w:rFonts w:ascii="Aptos" w:hAnsi="Aptos"/>
        </w:rPr>
        <w:t>NRA positions</w:t>
      </w:r>
      <w:r w:rsidR="002501AE" w:rsidRPr="00BB520C">
        <w:rPr>
          <w:rFonts w:ascii="Aptos" w:hAnsi="Aptos"/>
        </w:rPr>
        <w:t xml:space="preserve"> expressed in it </w:t>
      </w:r>
      <w:r w:rsidR="00087785" w:rsidRPr="00BB520C">
        <w:rPr>
          <w:rFonts w:ascii="Aptos" w:hAnsi="Aptos"/>
        </w:rPr>
        <w:t>Junction</w:t>
      </w:r>
      <w:r w:rsidR="00376C30" w:rsidRPr="00BB520C">
        <w:rPr>
          <w:rStyle w:val="FootnoteReference"/>
          <w:rFonts w:ascii="Aptos" w:hAnsi="Aptos"/>
        </w:rPr>
        <w:footnoteReference w:id="3"/>
      </w:r>
      <w:r w:rsidR="00F84A9B" w:rsidRPr="00BB520C">
        <w:rPr>
          <w:rFonts w:ascii="Aptos" w:hAnsi="Aptos"/>
        </w:rPr>
        <w:t xml:space="preserve"> in November 2025</w:t>
      </w:r>
      <w:r w:rsidRPr="00BB520C">
        <w:rPr>
          <w:rFonts w:ascii="Aptos" w:hAnsi="Aptos"/>
        </w:rPr>
        <w:t>, this constrains ex-post measures</w:t>
      </w:r>
      <w:r w:rsidR="00087785" w:rsidRPr="00BB520C">
        <w:rPr>
          <w:rFonts w:ascii="Aptos" w:hAnsi="Aptos"/>
        </w:rPr>
        <w:t xml:space="preserve"> (CAP in line with FCA Art </w:t>
      </w:r>
      <w:r w:rsidR="00030073" w:rsidRPr="00BB520C">
        <w:rPr>
          <w:rFonts w:ascii="Aptos" w:hAnsi="Aptos"/>
        </w:rPr>
        <w:t>54</w:t>
      </w:r>
      <w:r w:rsidR="00087785" w:rsidRPr="00BB520C">
        <w:rPr>
          <w:rFonts w:ascii="Aptos" w:hAnsi="Aptos"/>
        </w:rPr>
        <w:t>)</w:t>
      </w:r>
      <w:r w:rsidRPr="00BB520C">
        <w:rPr>
          <w:rFonts w:ascii="Aptos" w:hAnsi="Aptos"/>
        </w:rPr>
        <w:t xml:space="preserve"> and supports conservative ex-ante volume setting.</w:t>
      </w:r>
      <w:r w:rsidR="00030073" w:rsidRPr="00BB520C">
        <w:rPr>
          <w:rFonts w:ascii="Aptos" w:hAnsi="Aptos"/>
        </w:rPr>
        <w:t xml:space="preserve"> </w:t>
      </w:r>
      <w:r w:rsidRPr="00BB520C">
        <w:rPr>
          <w:rFonts w:ascii="Aptos" w:hAnsi="Aptos"/>
        </w:rPr>
        <w:t xml:space="preserve">Therefore, volumes must be set conservatively ex-ante. The core rationale is to ensure that LTTR auctions can be honoured without curtailment under the credible scenario of a single interconnector outage. For example, in </w:t>
      </w:r>
      <w:r w:rsidR="0077023C" w:rsidRPr="00BB520C">
        <w:rPr>
          <w:rFonts w:ascii="Aptos" w:hAnsi="Aptos"/>
        </w:rPr>
        <w:t xml:space="preserve">2024 and </w:t>
      </w:r>
      <w:r w:rsidRPr="00BB520C">
        <w:rPr>
          <w:rFonts w:ascii="Aptos" w:hAnsi="Aptos"/>
        </w:rPr>
        <w:t>2025, Estlink 2 was out of operation due to external damage for approximately half of the year.</w:t>
      </w:r>
    </w:p>
    <w:p w14:paraId="51BA9039" w14:textId="77777777" w:rsidR="00EB5384" w:rsidRPr="00BB520C" w:rsidRDefault="00D31723" w:rsidP="00052E3B">
      <w:pPr>
        <w:jc w:val="both"/>
        <w:rPr>
          <w:rFonts w:ascii="Aptos" w:hAnsi="Aptos"/>
        </w:rPr>
      </w:pPr>
      <w:r w:rsidRPr="00BB520C">
        <w:rPr>
          <w:rFonts w:ascii="Aptos" w:hAnsi="Aptos"/>
        </w:rPr>
        <w:t>The TSOs’ proposal is considered proportionate, as it aims to ensure firmness and predictable hedging value. The proposed adjustment is designed to ensure that allocated LTTRs remain firm without curtailment under realistic single interconnector outage scenarios, thereby supporting predictable hedging outcomes.</w:t>
      </w:r>
    </w:p>
    <w:p w14:paraId="75B29A3A" w14:textId="1159277C" w:rsidR="00EB5384" w:rsidRPr="00BB520C" w:rsidRDefault="00D31723" w:rsidP="00052E3B">
      <w:pPr>
        <w:jc w:val="both"/>
        <w:rPr>
          <w:rFonts w:ascii="Aptos" w:hAnsi="Aptos"/>
        </w:rPr>
      </w:pPr>
      <w:r w:rsidRPr="00BB520C">
        <w:rPr>
          <w:rFonts w:ascii="Aptos" w:hAnsi="Aptos"/>
        </w:rPr>
        <w:t xml:space="preserve">Please note that if </w:t>
      </w:r>
      <w:r w:rsidR="00B86CE1" w:rsidRPr="00BB520C">
        <w:rPr>
          <w:rFonts w:ascii="Aptos" w:hAnsi="Aptos"/>
        </w:rPr>
        <w:t>LTTR</w:t>
      </w:r>
      <w:r w:rsidRPr="00BB520C">
        <w:rPr>
          <w:rFonts w:ascii="Aptos" w:hAnsi="Aptos"/>
        </w:rPr>
        <w:t xml:space="preserve">s are curtailed, they are always curtailed proportionally. This means that offering even monthly </w:t>
      </w:r>
      <w:r w:rsidR="00B86CE1" w:rsidRPr="00BB520C">
        <w:rPr>
          <w:rFonts w:ascii="Aptos" w:hAnsi="Aptos"/>
        </w:rPr>
        <w:t>LTTR</w:t>
      </w:r>
      <w:r w:rsidRPr="00BB520C">
        <w:rPr>
          <w:rFonts w:ascii="Aptos" w:hAnsi="Aptos"/>
        </w:rPr>
        <w:t xml:space="preserve"> volumes above the capacity of the smaller Estlink cable results in both yearly and monthly products being curtailed, meaning that full firmness is not achieved.</w:t>
      </w:r>
    </w:p>
    <w:p w14:paraId="58613A15" w14:textId="77777777" w:rsidR="00EB5384" w:rsidRPr="00BB520C" w:rsidRDefault="00D31723" w:rsidP="00052E3B">
      <w:pPr>
        <w:jc w:val="both"/>
        <w:rPr>
          <w:rFonts w:ascii="Aptos" w:hAnsi="Aptos"/>
        </w:rPr>
      </w:pPr>
      <w:r w:rsidRPr="00BB520C">
        <w:rPr>
          <w:rFonts w:ascii="Aptos" w:hAnsi="Aptos"/>
        </w:rPr>
        <w:t>Regarding the evaluation of hedging needs, TSOs consider the following:</w:t>
      </w:r>
    </w:p>
    <w:p w14:paraId="0F6E397C" w14:textId="098F5E9D" w:rsidR="00EB5384" w:rsidRPr="00BB520C" w:rsidRDefault="00D31723" w:rsidP="00052E3B">
      <w:pPr>
        <w:jc w:val="both"/>
        <w:rPr>
          <w:rFonts w:ascii="Aptos" w:hAnsi="Aptos"/>
        </w:rPr>
      </w:pPr>
      <w:r w:rsidRPr="00BB520C">
        <w:rPr>
          <w:rFonts w:ascii="Aptos" w:hAnsi="Aptos"/>
        </w:rPr>
        <w:t>As there are hedging instruments available via exchange and OTC in Finland, but only via OTC in Estonia, the main concern is the hedging needs of the Estonian market.</w:t>
      </w:r>
      <w:r w:rsidR="00E11F13" w:rsidRPr="00BB520C">
        <w:rPr>
          <w:rFonts w:ascii="Aptos" w:hAnsi="Aptos"/>
        </w:rPr>
        <w:t xml:space="preserve"> </w:t>
      </w:r>
      <w:r w:rsidRPr="00BB520C">
        <w:rPr>
          <w:rFonts w:ascii="Aptos" w:hAnsi="Aptos"/>
        </w:rPr>
        <w:t xml:space="preserve">If we consider Estonia’s hedging demand per MTU to be 1,600 MW, and based on 2025 data indicating that 37% of electricity is imported, it can be assumed that approximately </w:t>
      </w:r>
      <w:r w:rsidR="00D92925" w:rsidRPr="00BB520C">
        <w:rPr>
          <w:rFonts w:ascii="Aptos" w:hAnsi="Aptos"/>
        </w:rPr>
        <w:t>63</w:t>
      </w:r>
      <w:r w:rsidRPr="00BB520C">
        <w:rPr>
          <w:rFonts w:ascii="Aptos" w:hAnsi="Aptos"/>
        </w:rPr>
        <w:t xml:space="preserve">% of the hedging demand could be covered within Estonia, and only </w:t>
      </w:r>
      <w:r w:rsidR="00D92925" w:rsidRPr="00BB520C">
        <w:rPr>
          <w:rFonts w:ascii="Aptos" w:hAnsi="Aptos"/>
        </w:rPr>
        <w:t>37</w:t>
      </w:r>
      <w:r w:rsidRPr="00BB520C">
        <w:rPr>
          <w:rFonts w:ascii="Aptos" w:hAnsi="Aptos"/>
        </w:rPr>
        <w:t xml:space="preserve">% would require hedging from other </w:t>
      </w:r>
      <w:r w:rsidRPr="00BB520C">
        <w:rPr>
          <w:rFonts w:ascii="Aptos" w:hAnsi="Aptos"/>
        </w:rPr>
        <w:lastRenderedPageBreak/>
        <w:t>areas (EPAD or OTC).</w:t>
      </w:r>
      <w:r w:rsidR="0060609F" w:rsidRPr="00BB520C">
        <w:rPr>
          <w:rFonts w:ascii="Aptos" w:hAnsi="Aptos"/>
        </w:rPr>
        <w:t xml:space="preserve"> </w:t>
      </w:r>
      <w:r w:rsidRPr="00BB520C">
        <w:rPr>
          <w:rFonts w:ascii="Aptos" w:hAnsi="Aptos"/>
        </w:rPr>
        <w:t xml:space="preserve">According to Estfeed datahub statistics, approximately </w:t>
      </w:r>
      <w:r w:rsidR="00190468" w:rsidRPr="00BB520C">
        <w:rPr>
          <w:rFonts w:ascii="Aptos" w:hAnsi="Aptos"/>
        </w:rPr>
        <w:t>58</w:t>
      </w:r>
      <w:r w:rsidRPr="00BB520C">
        <w:rPr>
          <w:rFonts w:ascii="Aptos" w:hAnsi="Aptos"/>
        </w:rPr>
        <w:t>%</w:t>
      </w:r>
      <w:r w:rsidR="00190468" w:rsidRPr="00BB520C">
        <w:rPr>
          <w:rStyle w:val="FootnoteReference"/>
          <w:rFonts w:ascii="Aptos" w:hAnsi="Aptos"/>
        </w:rPr>
        <w:footnoteReference w:id="4"/>
      </w:r>
      <w:r w:rsidRPr="00BB520C">
        <w:rPr>
          <w:rFonts w:ascii="Aptos" w:hAnsi="Aptos"/>
        </w:rPr>
        <w:t xml:space="preserve"> (depending on the season) of consumer contracts are fixed-duration (and thus likely fixed-price) contracts. Therefore, to continue offering fixed contracts at the current level, the required hedge volume </w:t>
      </w:r>
      <w:r w:rsidR="00820F19" w:rsidRPr="00BB520C">
        <w:rPr>
          <w:rFonts w:ascii="Aptos" w:hAnsi="Aptos"/>
        </w:rPr>
        <w:t>reduces</w:t>
      </w:r>
      <w:r w:rsidRPr="00BB520C">
        <w:rPr>
          <w:rFonts w:ascii="Aptos" w:hAnsi="Aptos"/>
        </w:rPr>
        <w:t xml:space="preserve"> from 1,600 MW to approximately </w:t>
      </w:r>
      <w:r w:rsidR="007F2613" w:rsidRPr="00BB520C">
        <w:rPr>
          <w:rFonts w:ascii="Aptos" w:hAnsi="Aptos"/>
        </w:rPr>
        <w:t xml:space="preserve">592 </w:t>
      </w:r>
      <w:r w:rsidRPr="00BB520C">
        <w:rPr>
          <w:rFonts w:ascii="Aptos" w:hAnsi="Aptos"/>
        </w:rPr>
        <w:t>MW (</w:t>
      </w:r>
      <w:r w:rsidR="00D92925" w:rsidRPr="00BB520C">
        <w:rPr>
          <w:rFonts w:ascii="Aptos" w:hAnsi="Aptos"/>
        </w:rPr>
        <w:t>37</w:t>
      </w:r>
      <w:r w:rsidRPr="00BB520C">
        <w:rPr>
          <w:rFonts w:ascii="Aptos" w:hAnsi="Aptos"/>
        </w:rPr>
        <w:t>%).</w:t>
      </w:r>
      <w:r w:rsidR="00820F19" w:rsidRPr="00BB520C">
        <w:rPr>
          <w:rFonts w:ascii="Aptos" w:hAnsi="Aptos"/>
        </w:rPr>
        <w:t xml:space="preserve"> </w:t>
      </w:r>
      <w:r w:rsidRPr="00BB520C">
        <w:rPr>
          <w:rFonts w:ascii="Aptos" w:hAnsi="Aptos"/>
        </w:rPr>
        <w:t xml:space="preserve">As </w:t>
      </w:r>
      <w:r w:rsidR="005369BE" w:rsidRPr="00BB520C">
        <w:rPr>
          <w:rFonts w:ascii="Aptos" w:hAnsi="Aptos"/>
        </w:rPr>
        <w:t>58</w:t>
      </w:r>
      <w:r w:rsidRPr="00BB520C">
        <w:rPr>
          <w:rFonts w:ascii="Aptos" w:hAnsi="Aptos"/>
        </w:rPr>
        <w:t xml:space="preserve">% of contracts are fixed, the estimated hedging need to be covered using FTRs for Estonian customers would ultimately be approximately </w:t>
      </w:r>
      <w:r w:rsidR="009B6B06" w:rsidRPr="00BB520C">
        <w:rPr>
          <w:rFonts w:ascii="Aptos" w:hAnsi="Aptos"/>
        </w:rPr>
        <w:t xml:space="preserve">343 </w:t>
      </w:r>
      <w:r w:rsidRPr="00BB520C">
        <w:rPr>
          <w:rFonts w:ascii="Aptos" w:hAnsi="Aptos"/>
        </w:rPr>
        <w:t>MW.</w:t>
      </w:r>
      <w:r w:rsidR="00A27EBB" w:rsidRPr="00BB520C">
        <w:rPr>
          <w:rFonts w:ascii="Aptos" w:hAnsi="Aptos"/>
        </w:rPr>
        <w:t xml:space="preserve"> </w:t>
      </w:r>
      <w:r w:rsidRPr="00BB520C">
        <w:rPr>
          <w:rFonts w:ascii="Aptos" w:hAnsi="Aptos"/>
        </w:rPr>
        <w:t>Therefore, TSOs consider Estlink 1 capacity</w:t>
      </w:r>
      <w:r w:rsidR="009B6B06" w:rsidRPr="00BB520C">
        <w:rPr>
          <w:rFonts w:ascii="Aptos" w:hAnsi="Aptos"/>
        </w:rPr>
        <w:t xml:space="preserve"> (350 MW)</w:t>
      </w:r>
      <w:r w:rsidRPr="00BB520C">
        <w:rPr>
          <w:rFonts w:ascii="Aptos" w:hAnsi="Aptos"/>
        </w:rPr>
        <w:t xml:space="preserve"> to be sufficient</w:t>
      </w:r>
      <w:r w:rsidR="00A27EBB" w:rsidRPr="00BB520C">
        <w:rPr>
          <w:rFonts w:ascii="Aptos" w:hAnsi="Aptos"/>
        </w:rPr>
        <w:t xml:space="preserve"> for Estonian </w:t>
      </w:r>
      <w:r w:rsidR="008E4CDF" w:rsidRPr="00BB520C">
        <w:rPr>
          <w:rFonts w:ascii="Aptos" w:hAnsi="Aptos"/>
        </w:rPr>
        <w:t>market hedging needs</w:t>
      </w:r>
      <w:r w:rsidRPr="00BB520C">
        <w:rPr>
          <w:rFonts w:ascii="Aptos" w:hAnsi="Aptos"/>
        </w:rPr>
        <w:t>.</w:t>
      </w:r>
    </w:p>
    <w:p w14:paraId="3444844D" w14:textId="669E4406" w:rsidR="009B6B06" w:rsidRPr="00BB520C" w:rsidRDefault="00D31723" w:rsidP="00052E3B">
      <w:pPr>
        <w:jc w:val="both"/>
        <w:rPr>
          <w:rFonts w:ascii="Aptos" w:hAnsi="Aptos"/>
        </w:rPr>
      </w:pPr>
      <w:r w:rsidRPr="00BB520C">
        <w:rPr>
          <w:rFonts w:ascii="Aptos" w:hAnsi="Aptos"/>
        </w:rPr>
        <w:t>Regarding the overall Baltic electricity market need, it must be noted that Euronext has launched EPAD Vilnius, offering hedging in the Baltics</w:t>
      </w:r>
      <w:r w:rsidR="007A5C8D" w:rsidRPr="00BB520C">
        <w:rPr>
          <w:rFonts w:ascii="Aptos" w:hAnsi="Aptos"/>
        </w:rPr>
        <w:t xml:space="preserve"> starting from March 2026</w:t>
      </w:r>
      <w:r w:rsidRPr="00BB520C">
        <w:rPr>
          <w:rFonts w:ascii="Aptos" w:hAnsi="Aptos"/>
        </w:rPr>
        <w:t>. Moreover, Lithuanian and Swedish TSOs will start supporting EPAD Lithuania, with the project foreseeing an EPAD COMBO for the LT–SE border starting from 2027</w:t>
      </w:r>
      <w:r w:rsidR="00D539D6" w:rsidRPr="00BB520C">
        <w:rPr>
          <w:rStyle w:val="FootnoteReference"/>
          <w:rFonts w:ascii="Aptos" w:hAnsi="Aptos"/>
        </w:rPr>
        <w:footnoteReference w:id="5"/>
      </w:r>
      <w:r w:rsidR="00B45ECD" w:rsidRPr="00BB520C">
        <w:rPr>
          <w:rFonts w:ascii="Aptos" w:hAnsi="Aptos"/>
        </w:rPr>
        <w:t>.</w:t>
      </w:r>
    </w:p>
    <w:p w14:paraId="20953FDD" w14:textId="77777777" w:rsidR="00EB5384" w:rsidRPr="00BB520C" w:rsidRDefault="00D31723" w:rsidP="00BB520C">
      <w:pPr>
        <w:pStyle w:val="Heading2"/>
      </w:pPr>
      <w:r w:rsidRPr="00BB520C">
        <w:t>2. Forward Market Liquidity, LTTR Underpricing (Underselling), and Competition</w:t>
      </w:r>
    </w:p>
    <w:p w14:paraId="1277359D" w14:textId="77777777" w:rsidR="00EB5384" w:rsidRPr="00BB520C" w:rsidRDefault="00D31723" w:rsidP="00052E3B">
      <w:pPr>
        <w:jc w:val="both"/>
        <w:rPr>
          <w:rFonts w:ascii="Aptos" w:hAnsi="Aptos"/>
          <w:i/>
          <w:iCs/>
        </w:rPr>
      </w:pPr>
      <w:r w:rsidRPr="00BB520C">
        <w:rPr>
          <w:rFonts w:ascii="Aptos" w:hAnsi="Aptos"/>
          <w:i/>
          <w:iCs/>
        </w:rPr>
        <w:t>MP argument: Reduced FTR volumes reduce liquidity and increase entry barriers. Discount is a normal risk premium.</w:t>
      </w:r>
    </w:p>
    <w:p w14:paraId="6306F4A0" w14:textId="6B302CD6" w:rsidR="00EB5384" w:rsidRPr="00BB520C" w:rsidRDefault="00D31723" w:rsidP="00052E3B">
      <w:pPr>
        <w:jc w:val="both"/>
        <w:rPr>
          <w:rFonts w:ascii="Aptos" w:hAnsi="Aptos"/>
        </w:rPr>
      </w:pPr>
      <w:r w:rsidRPr="00BB520C">
        <w:rPr>
          <w:rFonts w:ascii="Aptos" w:hAnsi="Aptos"/>
        </w:rPr>
        <w:t>TSO position: FCA Art 16(2)(c) does not require maximum volumes. Unrealistic volumes can distort competition through unreliable hedging.</w:t>
      </w:r>
    </w:p>
    <w:p w14:paraId="68546100" w14:textId="31053F3A" w:rsidR="00EB5384" w:rsidRPr="00BB520C" w:rsidRDefault="00D31723" w:rsidP="00052E3B">
      <w:pPr>
        <w:jc w:val="both"/>
        <w:rPr>
          <w:rFonts w:ascii="Aptos" w:hAnsi="Aptos"/>
        </w:rPr>
      </w:pPr>
      <w:r w:rsidRPr="00BB520C">
        <w:rPr>
          <w:rFonts w:ascii="Aptos" w:hAnsi="Aptos"/>
        </w:rPr>
        <w:t>ACER MMR</w:t>
      </w:r>
      <w:r w:rsidR="00B45ECD" w:rsidRPr="00BB520C">
        <w:rPr>
          <w:rFonts w:ascii="Aptos" w:hAnsi="Aptos"/>
        </w:rPr>
        <w:t xml:space="preserve"> 2024</w:t>
      </w:r>
      <w:r w:rsidR="0067589E" w:rsidRPr="00BB520C">
        <w:rPr>
          <w:rStyle w:val="FootnoteReference"/>
          <w:rFonts w:ascii="Aptos" w:hAnsi="Aptos"/>
        </w:rPr>
        <w:footnoteReference w:id="6"/>
      </w:r>
      <w:r w:rsidRPr="00BB520C">
        <w:rPr>
          <w:rFonts w:ascii="Aptos" w:hAnsi="Aptos"/>
        </w:rPr>
        <w:t xml:space="preserve"> identifies structural issues in forward markets, including uneven liquidity and the presence of speculative participation. Stable and credible instruments support sustainable competition.</w:t>
      </w:r>
      <w:r w:rsidR="005660BC" w:rsidRPr="00BB520C">
        <w:rPr>
          <w:rFonts w:ascii="Aptos" w:hAnsi="Aptos"/>
        </w:rPr>
        <w:t xml:space="preserve"> </w:t>
      </w:r>
      <w:r w:rsidRPr="00BB520C">
        <w:rPr>
          <w:rFonts w:ascii="Aptos" w:hAnsi="Aptos"/>
        </w:rPr>
        <w:t xml:space="preserve">ACER explains undervaluation as follows: a negative ex-post risk premium is usually driven by insufficient competition. Evidence suggests that </w:t>
      </w:r>
      <w:r w:rsidR="003E2324" w:rsidRPr="00BB520C">
        <w:rPr>
          <w:rFonts w:ascii="Aptos" w:hAnsi="Aptos"/>
        </w:rPr>
        <w:t xml:space="preserve">currently </w:t>
      </w:r>
      <w:r w:rsidRPr="00BB520C">
        <w:rPr>
          <w:rFonts w:ascii="Aptos" w:hAnsi="Aptos"/>
        </w:rPr>
        <w:t xml:space="preserve">offered </w:t>
      </w:r>
      <w:r w:rsidR="003E2324" w:rsidRPr="00BB520C">
        <w:rPr>
          <w:rFonts w:ascii="Aptos" w:hAnsi="Aptos"/>
        </w:rPr>
        <w:t xml:space="preserve">FI-EE LTTRs </w:t>
      </w:r>
      <w:r w:rsidRPr="00BB520C">
        <w:rPr>
          <w:rFonts w:ascii="Aptos" w:hAnsi="Aptos"/>
        </w:rPr>
        <w:t>capacity may exceed actual demand for LTTRs participants seeking hedging. This may indicate that a share of LTTRs is acquired with the expectation of profit rather than for hedging purposes.</w:t>
      </w:r>
      <w:r w:rsidR="009F40A6">
        <w:rPr>
          <w:rFonts w:ascii="Aptos" w:hAnsi="Aptos"/>
        </w:rPr>
        <w:t xml:space="preserve"> </w:t>
      </w:r>
      <w:r w:rsidR="009F40A6" w:rsidRPr="009F40A6">
        <w:rPr>
          <w:rFonts w:ascii="Aptos" w:hAnsi="Aptos"/>
        </w:rPr>
        <w:t xml:space="preserve">The total net outcome for </w:t>
      </w:r>
      <w:proofErr w:type="spellStart"/>
      <w:r w:rsidR="009F40A6" w:rsidRPr="009F40A6">
        <w:rPr>
          <w:rFonts w:ascii="Aptos" w:hAnsi="Aptos"/>
        </w:rPr>
        <w:t>Elering</w:t>
      </w:r>
      <w:proofErr w:type="spellEnd"/>
      <w:r w:rsidR="009F40A6" w:rsidRPr="009F40A6">
        <w:rPr>
          <w:rFonts w:ascii="Aptos" w:hAnsi="Aptos"/>
        </w:rPr>
        <w:t xml:space="preserve"> and </w:t>
      </w:r>
      <w:proofErr w:type="spellStart"/>
      <w:r w:rsidR="009F40A6" w:rsidRPr="009F40A6">
        <w:rPr>
          <w:rFonts w:ascii="Aptos" w:hAnsi="Aptos"/>
        </w:rPr>
        <w:t>Fingrid</w:t>
      </w:r>
      <w:proofErr w:type="spellEnd"/>
      <w:r w:rsidR="009F40A6" w:rsidRPr="009F40A6">
        <w:rPr>
          <w:rFonts w:ascii="Aptos" w:hAnsi="Aptos"/>
        </w:rPr>
        <w:t xml:space="preserve"> from offering FTRs—calculated as FTR auction revenues minus remuneration based on the FI–EE day-ahead price difference—is negative, amounting to –</w:t>
      </w:r>
      <w:r w:rsidR="000D4642">
        <w:rPr>
          <w:rFonts w:ascii="Aptos" w:hAnsi="Aptos"/>
        </w:rPr>
        <w:t>177</w:t>
      </w:r>
      <w:r w:rsidR="00C44C60">
        <w:rPr>
          <w:rFonts w:ascii="Aptos" w:hAnsi="Aptos"/>
        </w:rPr>
        <w:t xml:space="preserve"> M</w:t>
      </w:r>
      <w:r w:rsidR="009F40A6" w:rsidRPr="009F40A6">
        <w:rPr>
          <w:rFonts w:ascii="Aptos" w:hAnsi="Aptos"/>
        </w:rPr>
        <w:t>EUR (–</w:t>
      </w:r>
      <w:r w:rsidR="00FA765E">
        <w:rPr>
          <w:rFonts w:ascii="Aptos" w:hAnsi="Aptos"/>
        </w:rPr>
        <w:t>78,4</w:t>
      </w:r>
      <w:r w:rsidR="009F40A6" w:rsidRPr="009F40A6">
        <w:rPr>
          <w:rFonts w:ascii="Aptos" w:hAnsi="Aptos"/>
        </w:rPr>
        <w:t xml:space="preserve"> </w:t>
      </w:r>
      <w:r w:rsidR="00C44C60">
        <w:rPr>
          <w:rFonts w:ascii="Aptos" w:hAnsi="Aptos"/>
        </w:rPr>
        <w:t>M</w:t>
      </w:r>
      <w:r w:rsidR="009F40A6" w:rsidRPr="009F40A6">
        <w:rPr>
          <w:rFonts w:ascii="Aptos" w:hAnsi="Aptos"/>
        </w:rPr>
        <w:t>EUR in 2023, –</w:t>
      </w:r>
      <w:r w:rsidR="00FA765E">
        <w:rPr>
          <w:rFonts w:ascii="Aptos" w:hAnsi="Aptos"/>
        </w:rPr>
        <w:t xml:space="preserve">46,5 </w:t>
      </w:r>
      <w:r w:rsidR="00C44C60">
        <w:rPr>
          <w:rFonts w:ascii="Aptos" w:hAnsi="Aptos"/>
        </w:rPr>
        <w:t>M</w:t>
      </w:r>
      <w:r w:rsidR="009F40A6" w:rsidRPr="009F40A6">
        <w:rPr>
          <w:rFonts w:ascii="Aptos" w:hAnsi="Aptos"/>
        </w:rPr>
        <w:t>EUR in 2024, and –</w:t>
      </w:r>
      <w:r w:rsidR="00FA765E">
        <w:rPr>
          <w:rFonts w:ascii="Aptos" w:hAnsi="Aptos"/>
        </w:rPr>
        <w:t>52,5</w:t>
      </w:r>
      <w:r w:rsidR="009F40A6" w:rsidRPr="009F40A6">
        <w:rPr>
          <w:rFonts w:ascii="Aptos" w:hAnsi="Aptos"/>
        </w:rPr>
        <w:t xml:space="preserve"> </w:t>
      </w:r>
      <w:r w:rsidR="00C44C60">
        <w:rPr>
          <w:rFonts w:ascii="Aptos" w:hAnsi="Aptos"/>
        </w:rPr>
        <w:t>M</w:t>
      </w:r>
      <w:r w:rsidR="009F40A6" w:rsidRPr="009F40A6">
        <w:rPr>
          <w:rFonts w:ascii="Aptos" w:hAnsi="Aptos"/>
        </w:rPr>
        <w:t>EUR in 2025).</w:t>
      </w:r>
    </w:p>
    <w:p w14:paraId="4D8DBAE5" w14:textId="61CE3243" w:rsidR="005D57CB" w:rsidRPr="00BB520C" w:rsidRDefault="00D31723" w:rsidP="00052E3B">
      <w:pPr>
        <w:jc w:val="both"/>
        <w:rPr>
          <w:rFonts w:ascii="Aptos" w:hAnsi="Aptos"/>
        </w:rPr>
      </w:pPr>
      <w:r w:rsidRPr="00BB520C">
        <w:rPr>
          <w:rFonts w:ascii="Aptos" w:hAnsi="Aptos"/>
        </w:rPr>
        <w:t>Therefore, the number of market participants or successful bidders does not</w:t>
      </w:r>
      <w:proofErr w:type="gramStart"/>
      <w:r w:rsidRPr="00BB520C">
        <w:rPr>
          <w:rFonts w:ascii="Aptos" w:hAnsi="Aptos"/>
        </w:rPr>
        <w:t>, in itself, indicate</w:t>
      </w:r>
      <w:proofErr w:type="gramEnd"/>
      <w:r w:rsidRPr="00BB520C">
        <w:rPr>
          <w:rFonts w:ascii="Aptos" w:hAnsi="Aptos"/>
        </w:rPr>
        <w:t xml:space="preserve"> effective competition, particularly if a large share of participants </w:t>
      </w:r>
      <w:proofErr w:type="gramStart"/>
      <w:r w:rsidRPr="00BB520C">
        <w:rPr>
          <w:rFonts w:ascii="Aptos" w:hAnsi="Aptos"/>
        </w:rPr>
        <w:t>are</w:t>
      </w:r>
      <w:proofErr w:type="gramEnd"/>
      <w:r w:rsidRPr="00BB520C">
        <w:rPr>
          <w:rFonts w:ascii="Aptos" w:hAnsi="Aptos"/>
        </w:rPr>
        <w:t xml:space="preserve"> seeking profit rather than hedging.</w:t>
      </w:r>
      <w:r w:rsidR="005D57CB" w:rsidRPr="00BB520C">
        <w:rPr>
          <w:rFonts w:ascii="Aptos" w:hAnsi="Aptos"/>
        </w:rPr>
        <w:t xml:space="preserve"> </w:t>
      </w:r>
      <w:r w:rsidR="00CE5480" w:rsidRPr="00BB520C">
        <w:rPr>
          <w:rFonts w:ascii="Aptos" w:hAnsi="Aptos"/>
        </w:rPr>
        <w:t>The TSOs will provide a break</w:t>
      </w:r>
      <w:r w:rsidR="00CE5480" w:rsidRPr="00BB520C">
        <w:rPr>
          <w:rFonts w:ascii="Cambria Math" w:hAnsi="Cambria Math" w:cs="Cambria Math"/>
        </w:rPr>
        <w:t>‑</w:t>
      </w:r>
      <w:r w:rsidR="00CE5480" w:rsidRPr="00BB520C">
        <w:rPr>
          <w:rFonts w:ascii="Aptos" w:hAnsi="Aptos"/>
        </w:rPr>
        <w:t>even assessment as part of the proposal package in Annex 1, which indicates what the FTR volumes should have been under the assumption that there was</w:t>
      </w:r>
      <w:r w:rsidR="00526B26" w:rsidRPr="00BB520C">
        <w:rPr>
          <w:rFonts w:ascii="Aptos" w:hAnsi="Aptos"/>
        </w:rPr>
        <w:t xml:space="preserve"> no</w:t>
      </w:r>
      <w:r w:rsidR="00CE5480" w:rsidRPr="00BB520C">
        <w:rPr>
          <w:rFonts w:ascii="Aptos" w:hAnsi="Aptos"/>
        </w:rPr>
        <w:t xml:space="preserve"> underselling. The analysis shows that the current capacity split can lead to systematic underselling, thereby motivating the proposed update to the </w:t>
      </w:r>
      <w:r w:rsidR="00CE5480" w:rsidRPr="00BB520C">
        <w:rPr>
          <w:rFonts w:ascii="Aptos" w:hAnsi="Aptos"/>
        </w:rPr>
        <w:lastRenderedPageBreak/>
        <w:t xml:space="preserve">splitting methodology. However, the TSOs do not propose to mechanically align auction volumes with the break-even results. Instead, the TSOs propose that a cap of maximum offered capacity of FI-EE FTRs is set at 350 MW, corresponding to the capacity of Estlink 1, even if the break-even volume analysis would suggest a lower value.  </w:t>
      </w:r>
    </w:p>
    <w:p w14:paraId="7CBD88C2" w14:textId="2796C21A" w:rsidR="005E0D27" w:rsidRPr="00BB520C" w:rsidRDefault="005E0D27" w:rsidP="005E0D27">
      <w:pPr>
        <w:jc w:val="both"/>
        <w:rPr>
          <w:rFonts w:ascii="Aptos" w:hAnsi="Aptos"/>
        </w:rPr>
      </w:pPr>
      <w:r w:rsidRPr="00BB520C">
        <w:rPr>
          <w:rFonts w:ascii="Aptos" w:hAnsi="Aptos"/>
        </w:rPr>
        <w:t>In the Explanatory Document, Figures 4 and 5 present the actual FI–EE FTR trading outcomes by country (in EUR) for 2024 and 2025. In 2024, for the yearly product, 75% of volumes were traded by Baltic market participants, including 60% by Estonian participants, while Finnish participants accounted for 0%. For monthly products, the shares were 42% (Baltic), 40% (Estonian), and again 0% (Finnish).</w:t>
      </w:r>
      <w:r w:rsidR="0007123B" w:rsidRPr="00BB520C">
        <w:rPr>
          <w:rFonts w:ascii="Aptos" w:hAnsi="Aptos"/>
        </w:rPr>
        <w:t xml:space="preserve"> </w:t>
      </w:r>
      <w:r w:rsidRPr="00BB520C">
        <w:rPr>
          <w:rFonts w:ascii="Aptos" w:hAnsi="Aptos"/>
        </w:rPr>
        <w:t>In 2025, for the yearly product, 61% was traded by Baltic participants, including 47% by Estonian participants and 0% by Finnish participants. For monthly products, the shares were 36%, 35%, and 0%, respectively.</w:t>
      </w:r>
    </w:p>
    <w:p w14:paraId="0DC65D5F" w14:textId="77777777" w:rsidR="005E0D27" w:rsidRPr="00BB520C" w:rsidRDefault="005E0D27" w:rsidP="005E0D27">
      <w:pPr>
        <w:jc w:val="both"/>
        <w:rPr>
          <w:rFonts w:ascii="Aptos" w:hAnsi="Aptos"/>
        </w:rPr>
      </w:pPr>
      <w:r w:rsidRPr="00BB520C">
        <w:rPr>
          <w:rFonts w:ascii="Aptos" w:hAnsi="Aptos"/>
        </w:rPr>
        <w:t>These results provide strong evidence that the FI–EE FTR market is not primarily used by Finnish market participants for hedging purposes. Instead, a significant share—between 25% and 64% depending on the product and year—is acquired by participants outside the Baltic region. This indicates that the currently offered FTR volumes exceed the core hedging demand of local market participants and are to a considerable extent taken up by non-local participants. The complete absence of Finnish participation further supports the conclusion that there is structurally limited demand for FI–EE hedging products on the Finnish side of the border.</w:t>
      </w:r>
    </w:p>
    <w:p w14:paraId="0E262F2B" w14:textId="6187C74D" w:rsidR="00EB5384" w:rsidRPr="00BB520C" w:rsidRDefault="005E0D27" w:rsidP="00052E3B">
      <w:pPr>
        <w:jc w:val="both"/>
        <w:rPr>
          <w:rFonts w:ascii="Aptos" w:hAnsi="Aptos"/>
        </w:rPr>
      </w:pPr>
      <w:r w:rsidRPr="00BB520C">
        <w:rPr>
          <w:rFonts w:ascii="Aptos" w:hAnsi="Aptos"/>
        </w:rPr>
        <w:t>At the same time, it should be acknowledged that non-Baltic participation does not automatically imply purely speculative behaviour, as such participants may also hold legitimate financial or portfolio-based exposures to Baltic price areas. Similarly, participation by external actors may contribute to market liquidity and price discovery. However, these considerations do not alter the core observation</w:t>
      </w:r>
      <w:r w:rsidR="003C0E3F">
        <w:rPr>
          <w:rFonts w:ascii="Aptos" w:hAnsi="Aptos"/>
        </w:rPr>
        <w:t xml:space="preserve"> </w:t>
      </w:r>
      <w:r w:rsidR="00740D88">
        <w:rPr>
          <w:rFonts w:ascii="Aptos" w:hAnsi="Aptos"/>
        </w:rPr>
        <w:t>that</w:t>
      </w:r>
      <w:r w:rsidRPr="00BB520C">
        <w:rPr>
          <w:rFonts w:ascii="Aptos" w:hAnsi="Aptos"/>
        </w:rPr>
        <w:t xml:space="preserve"> a substantial share of non-local buyers suggests that the current level of FTR supply is not aligned with the underlying regional hedging needs.</w:t>
      </w:r>
      <w:r w:rsidR="003C0E3F">
        <w:rPr>
          <w:rFonts w:ascii="Aptos" w:hAnsi="Aptos"/>
        </w:rPr>
        <w:t xml:space="preserve"> </w:t>
      </w:r>
      <w:proofErr w:type="gramStart"/>
      <w:r w:rsidR="00D31723" w:rsidRPr="00BB520C">
        <w:rPr>
          <w:rFonts w:ascii="Aptos" w:hAnsi="Aptos"/>
        </w:rPr>
        <w:t>It</w:t>
      </w:r>
      <w:proofErr w:type="gramEnd"/>
      <w:r w:rsidR="00D31723" w:rsidRPr="00BB520C">
        <w:rPr>
          <w:rFonts w:ascii="Aptos" w:hAnsi="Aptos"/>
        </w:rPr>
        <w:t xml:space="preserve"> should be stressed that TSOs do not seek to restrict participation from outside the region. However, demand for LTTRs should primarily originate from local participants. Given that these products are often undervalued, this indicates a situation of oversupply, resulting in congestion income being transferred out of the region. </w:t>
      </w:r>
      <w:r w:rsidR="00EF4647" w:rsidRPr="00BB520C">
        <w:rPr>
          <w:rFonts w:ascii="Aptos" w:hAnsi="Aptos"/>
        </w:rPr>
        <w:t>Regulation 2019/943 Art 19 foresees that congestion income must be used for system benefit</w:t>
      </w:r>
      <w:r w:rsidR="00772CC6" w:rsidRPr="00BB520C">
        <w:rPr>
          <w:rFonts w:ascii="Aptos" w:hAnsi="Aptos"/>
        </w:rPr>
        <w:t>,</w:t>
      </w:r>
      <w:r w:rsidR="00EF4647" w:rsidRPr="00BB520C">
        <w:rPr>
          <w:rFonts w:ascii="Aptos" w:hAnsi="Aptos"/>
        </w:rPr>
        <w:t xml:space="preserve"> </w:t>
      </w:r>
      <w:r w:rsidR="00772CC6" w:rsidRPr="00BB520C">
        <w:rPr>
          <w:rFonts w:ascii="Aptos" w:hAnsi="Aptos"/>
        </w:rPr>
        <w:t>including supporting hedging opportunities, but</w:t>
      </w:r>
      <w:r w:rsidR="00EF4647" w:rsidRPr="00BB520C">
        <w:rPr>
          <w:rFonts w:ascii="Aptos" w:hAnsi="Aptos"/>
        </w:rPr>
        <w:t xml:space="preserve"> not for arbitrage. </w:t>
      </w:r>
      <w:r w:rsidR="00D31723" w:rsidRPr="00BB520C">
        <w:rPr>
          <w:rFonts w:ascii="Aptos" w:hAnsi="Aptos"/>
        </w:rPr>
        <w:t>Therefore, reducing offered volumes is justified.</w:t>
      </w:r>
      <w:r w:rsidR="000E77CD" w:rsidRPr="00BB520C">
        <w:rPr>
          <w:rFonts w:ascii="Aptos" w:hAnsi="Aptos"/>
        </w:rPr>
        <w:t xml:space="preserve"> </w:t>
      </w:r>
      <w:r w:rsidR="00D31723" w:rsidRPr="00BB520C">
        <w:rPr>
          <w:rFonts w:ascii="Aptos" w:hAnsi="Aptos"/>
        </w:rPr>
        <w:t>Excess volumes may artificially increase liquidity but reduce efficiency.</w:t>
      </w:r>
    </w:p>
    <w:p w14:paraId="07D3F3DC" w14:textId="77777777" w:rsidR="00EB5384" w:rsidRPr="00BB520C" w:rsidRDefault="00D31723" w:rsidP="00BB520C">
      <w:pPr>
        <w:pStyle w:val="Heading2"/>
      </w:pPr>
      <w:r w:rsidRPr="00BB520C">
        <w:t>3. Consumer Prices and Risk Premiums</w:t>
      </w:r>
    </w:p>
    <w:p w14:paraId="2CC6BD2C" w14:textId="77777777" w:rsidR="00EB5384" w:rsidRPr="00BB520C" w:rsidRDefault="00D31723" w:rsidP="00052E3B">
      <w:pPr>
        <w:jc w:val="both"/>
        <w:rPr>
          <w:rFonts w:ascii="Aptos" w:hAnsi="Aptos"/>
          <w:i/>
          <w:iCs/>
        </w:rPr>
      </w:pPr>
      <w:r w:rsidRPr="00BB520C">
        <w:rPr>
          <w:rFonts w:ascii="Aptos" w:hAnsi="Aptos"/>
          <w:i/>
          <w:iCs/>
        </w:rPr>
        <w:t>MP argument: Reduced hedging leads to higher risk premiums and higher end-user prices.</w:t>
      </w:r>
    </w:p>
    <w:p w14:paraId="3A79E01E" w14:textId="33801D79" w:rsidR="00EB5384" w:rsidRPr="00BB520C" w:rsidRDefault="00D31723" w:rsidP="00052E3B">
      <w:pPr>
        <w:jc w:val="both"/>
        <w:rPr>
          <w:rFonts w:ascii="Aptos" w:hAnsi="Aptos"/>
        </w:rPr>
      </w:pPr>
      <w:r w:rsidRPr="00BB520C">
        <w:rPr>
          <w:rFonts w:ascii="Aptos" w:hAnsi="Aptos"/>
        </w:rPr>
        <w:t>TSO position:</w:t>
      </w:r>
      <w:r w:rsidR="003F6681" w:rsidRPr="00BB520C">
        <w:rPr>
          <w:rFonts w:ascii="Aptos" w:hAnsi="Aptos"/>
        </w:rPr>
        <w:t xml:space="preserve"> </w:t>
      </w:r>
      <w:r w:rsidRPr="00BB520C">
        <w:rPr>
          <w:rFonts w:ascii="Aptos" w:hAnsi="Aptos"/>
        </w:rPr>
        <w:t>Persistent underpricing (underselling) may lead to inefficient value transfers.</w:t>
      </w:r>
    </w:p>
    <w:p w14:paraId="6255466C" w14:textId="77777777" w:rsidR="0030670C" w:rsidRPr="00BB520C" w:rsidRDefault="00D31723" w:rsidP="00052E3B">
      <w:pPr>
        <w:jc w:val="both"/>
        <w:rPr>
          <w:rFonts w:ascii="Aptos" w:hAnsi="Aptos"/>
        </w:rPr>
      </w:pPr>
      <w:r w:rsidRPr="00BB520C">
        <w:rPr>
          <w:rFonts w:ascii="Aptos" w:hAnsi="Aptos"/>
        </w:rPr>
        <w:lastRenderedPageBreak/>
        <w:t xml:space="preserve">TSOs note that auction prices reflect market valuation at the time of auction; however, persistent patterns where remuneration exceeds auction income create a net transfer from grid tariff payers to LTTR holders. This phenomenon is documented in the ACER </w:t>
      </w:r>
      <w:r w:rsidR="00432708" w:rsidRPr="00BB520C">
        <w:rPr>
          <w:rFonts w:ascii="Aptos" w:hAnsi="Aptos"/>
        </w:rPr>
        <w:t xml:space="preserve">MMR </w:t>
      </w:r>
      <w:r w:rsidRPr="00BB520C">
        <w:rPr>
          <w:rFonts w:ascii="Aptos" w:hAnsi="Aptos"/>
        </w:rPr>
        <w:t>2024 and is also observed on the FI–EE border during periods of normal operation.</w:t>
      </w:r>
      <w:r w:rsidR="00432708" w:rsidRPr="00BB520C">
        <w:rPr>
          <w:rFonts w:ascii="Aptos" w:hAnsi="Aptos"/>
        </w:rPr>
        <w:t xml:space="preserve"> </w:t>
      </w:r>
      <w:r w:rsidRPr="00BB520C">
        <w:rPr>
          <w:rFonts w:ascii="Aptos" w:hAnsi="Aptos"/>
        </w:rPr>
        <w:t xml:space="preserve">This implies that the current transfer of </w:t>
      </w:r>
      <w:r w:rsidR="00432708" w:rsidRPr="00BB520C">
        <w:rPr>
          <w:rFonts w:ascii="Aptos" w:hAnsi="Aptos"/>
        </w:rPr>
        <w:t>LTTRs</w:t>
      </w:r>
      <w:r w:rsidRPr="00BB520C">
        <w:rPr>
          <w:rFonts w:ascii="Aptos" w:hAnsi="Aptos"/>
        </w:rPr>
        <w:t xml:space="preserve"> value to retail prices is inefficient.</w:t>
      </w:r>
      <w:r w:rsidR="0030670C" w:rsidRPr="00BB520C">
        <w:rPr>
          <w:rFonts w:ascii="Aptos" w:hAnsi="Aptos"/>
        </w:rPr>
        <w:t xml:space="preserve"> </w:t>
      </w:r>
    </w:p>
    <w:p w14:paraId="14066CAC" w14:textId="5EE1478C" w:rsidR="009F40A6" w:rsidRPr="004C57A8" w:rsidRDefault="0030670C" w:rsidP="009F40A6">
      <w:pPr>
        <w:jc w:val="both"/>
        <w:rPr>
          <w:rFonts w:ascii="Aptos" w:hAnsi="Aptos"/>
          <w:lang w:val="en-GB"/>
        </w:rPr>
      </w:pPr>
      <w:r w:rsidRPr="004C57A8">
        <w:rPr>
          <w:rFonts w:ascii="Aptos" w:hAnsi="Aptos"/>
          <w:lang w:val="en-GB"/>
        </w:rPr>
        <w:t>Market participants’ arguments focus only on availability, not pricing efficiency. TSOs consider that the costs associated with fixing electricity prices should be borne by those consumers who choose price certainty, rather than being socialised across all network users.</w:t>
      </w:r>
      <w:r w:rsidR="009F40A6" w:rsidRPr="004C57A8">
        <w:rPr>
          <w:rFonts w:ascii="Aptos" w:hAnsi="Aptos"/>
          <w:lang w:val="en-GB"/>
        </w:rPr>
        <w:t xml:space="preserve"> In the current setup, both the costs arising from FTR inefficiency from overselling and costs related to </w:t>
      </w:r>
      <w:proofErr w:type="spellStart"/>
      <w:r w:rsidR="009F40A6" w:rsidRPr="004C57A8">
        <w:rPr>
          <w:rFonts w:ascii="Aptos" w:hAnsi="Aptos"/>
          <w:lang w:val="en-GB"/>
        </w:rPr>
        <w:t>EstLink</w:t>
      </w:r>
      <w:proofErr w:type="spellEnd"/>
      <w:r w:rsidR="009F40A6" w:rsidRPr="004C57A8">
        <w:rPr>
          <w:rFonts w:ascii="Aptos" w:hAnsi="Aptos"/>
          <w:lang w:val="en-GB"/>
        </w:rPr>
        <w:t xml:space="preserve"> outages repair </w:t>
      </w:r>
      <w:r w:rsidR="00C10B6B" w:rsidRPr="004C57A8">
        <w:rPr>
          <w:rFonts w:ascii="Aptos" w:hAnsi="Aptos"/>
          <w:lang w:val="en-GB"/>
        </w:rPr>
        <w:t xml:space="preserve">(as this should be covered from congestion income) </w:t>
      </w:r>
      <w:r w:rsidR="009F40A6" w:rsidRPr="004C57A8">
        <w:rPr>
          <w:rFonts w:ascii="Aptos" w:hAnsi="Aptos"/>
          <w:lang w:val="en-GB"/>
        </w:rPr>
        <w:t>result in a transfer of value from all network users to consumers on fixed-price contracts—i.e. from consumers exposed to market-based pricing to those benefiting from fixed-price arrangements.</w:t>
      </w:r>
    </w:p>
    <w:p w14:paraId="6318CEB0" w14:textId="4D1C9028" w:rsidR="00EB5384" w:rsidRPr="00BB520C" w:rsidRDefault="00D31723" w:rsidP="00052E3B">
      <w:pPr>
        <w:jc w:val="both"/>
        <w:rPr>
          <w:rFonts w:ascii="Aptos" w:hAnsi="Aptos"/>
        </w:rPr>
      </w:pPr>
      <w:r w:rsidRPr="00BB520C">
        <w:rPr>
          <w:rFonts w:ascii="Aptos" w:hAnsi="Aptos"/>
        </w:rPr>
        <w:t xml:space="preserve">If TSOs limit their risk exposure when offering </w:t>
      </w:r>
      <w:r w:rsidR="003C026E" w:rsidRPr="00BB520C">
        <w:rPr>
          <w:rFonts w:ascii="Aptos" w:hAnsi="Aptos"/>
        </w:rPr>
        <w:t>LTTR</w:t>
      </w:r>
      <w:r w:rsidRPr="00BB520C">
        <w:rPr>
          <w:rFonts w:ascii="Aptos" w:hAnsi="Aptos"/>
        </w:rPr>
        <w:t>s by aligning volumes with interconnector capacity and expected congestion income, the risk of cost socialisation through tariffs is reduced.</w:t>
      </w:r>
    </w:p>
    <w:p w14:paraId="7CE04E34" w14:textId="22F0D1D1" w:rsidR="00526B26" w:rsidRPr="00BB520C" w:rsidRDefault="001E39E8" w:rsidP="00052E3B">
      <w:pPr>
        <w:jc w:val="both"/>
        <w:rPr>
          <w:rFonts w:ascii="Aptos" w:hAnsi="Aptos"/>
        </w:rPr>
      </w:pPr>
      <w:r w:rsidRPr="00BB520C">
        <w:rPr>
          <w:rFonts w:ascii="Aptos" w:hAnsi="Aptos"/>
        </w:rPr>
        <w:t xml:space="preserve">To evaluate the possible impact on consumer prices, we estimate that fixed </w:t>
      </w:r>
      <w:r w:rsidR="0012717C" w:rsidRPr="00BB520C">
        <w:rPr>
          <w:rFonts w:ascii="Aptos" w:hAnsi="Aptos"/>
        </w:rPr>
        <w:t xml:space="preserve">price premium </w:t>
      </w:r>
      <w:r w:rsidRPr="00BB520C">
        <w:rPr>
          <w:rFonts w:ascii="Aptos" w:hAnsi="Aptos"/>
        </w:rPr>
        <w:t xml:space="preserve">could increase by up to approximately 5%, assuming a fixed-price contract level of 100–120 EUR/MWh. This estimate is based on historical yearly FTR bid curves from 2024 to 2026, if the offered capacity had been 200 MW instead of 350 MW, the estimated </w:t>
      </w:r>
      <w:r w:rsidR="00061C0A">
        <w:rPr>
          <w:rFonts w:ascii="Aptos" w:hAnsi="Aptos"/>
        </w:rPr>
        <w:t xml:space="preserve">electricity </w:t>
      </w:r>
      <w:r w:rsidRPr="00BB520C">
        <w:rPr>
          <w:rFonts w:ascii="Aptos" w:hAnsi="Aptos"/>
        </w:rPr>
        <w:t xml:space="preserve">price increase would have </w:t>
      </w:r>
      <w:r w:rsidR="001F5AED" w:rsidRPr="00BB520C">
        <w:rPr>
          <w:rFonts w:ascii="Aptos" w:hAnsi="Aptos"/>
        </w:rPr>
        <w:t>been in the range of 2.29–6.5 EUR/MWh, with an average increase of less than 5 EUR/MWh</w:t>
      </w:r>
      <w:r w:rsidRPr="00BB520C">
        <w:rPr>
          <w:rFonts w:ascii="Aptos" w:hAnsi="Aptos"/>
        </w:rPr>
        <w:t>.</w:t>
      </w:r>
      <w:r w:rsidR="00AD09D8">
        <w:rPr>
          <w:rFonts w:ascii="Aptos" w:hAnsi="Aptos"/>
        </w:rPr>
        <w:t xml:space="preserve"> </w:t>
      </w:r>
      <w:r w:rsidR="00602E46" w:rsidRPr="00602E46">
        <w:rPr>
          <w:rFonts w:ascii="Aptos" w:hAnsi="Aptos"/>
        </w:rPr>
        <w:t xml:space="preserve">For an average Estonian household </w:t>
      </w:r>
      <w:r w:rsidR="004A43C0">
        <w:rPr>
          <w:rFonts w:ascii="Aptos" w:hAnsi="Aptos"/>
        </w:rPr>
        <w:t xml:space="preserve">fix- contract </w:t>
      </w:r>
      <w:r w:rsidR="00602E46" w:rsidRPr="00602E46">
        <w:rPr>
          <w:rFonts w:ascii="Aptos" w:hAnsi="Aptos"/>
        </w:rPr>
        <w:t xml:space="preserve">consumer with a monthly consumption of 250 kWh, this would have an impact of approximately €1.55 per month on the </w:t>
      </w:r>
      <w:r w:rsidR="00071928">
        <w:rPr>
          <w:rFonts w:ascii="Aptos" w:hAnsi="Aptos"/>
        </w:rPr>
        <w:t xml:space="preserve">final </w:t>
      </w:r>
      <w:r w:rsidR="00602E46" w:rsidRPr="00602E46">
        <w:rPr>
          <w:rFonts w:ascii="Aptos" w:hAnsi="Aptos"/>
        </w:rPr>
        <w:t>bill, including VAT.</w:t>
      </w:r>
    </w:p>
    <w:p w14:paraId="470DA57B" w14:textId="6E6D9454" w:rsidR="00EB5384" w:rsidRPr="00BB520C" w:rsidRDefault="005A6EAE" w:rsidP="00BB520C">
      <w:pPr>
        <w:pStyle w:val="Heading2"/>
      </w:pPr>
      <w:r w:rsidRPr="00BB520C">
        <w:t>4. Volume vs Pricing Relationship</w:t>
      </w:r>
    </w:p>
    <w:p w14:paraId="127632B1" w14:textId="77777777" w:rsidR="00EB5384" w:rsidRPr="00BB520C" w:rsidRDefault="00D31723" w:rsidP="00052E3B">
      <w:pPr>
        <w:jc w:val="both"/>
        <w:rPr>
          <w:rFonts w:ascii="Aptos" w:hAnsi="Aptos"/>
          <w:i/>
          <w:iCs/>
        </w:rPr>
      </w:pPr>
      <w:r w:rsidRPr="00BB520C">
        <w:rPr>
          <w:rFonts w:ascii="Aptos" w:hAnsi="Aptos"/>
          <w:i/>
          <w:iCs/>
        </w:rPr>
        <w:t>MP argument: discount exists even at low volumes.</w:t>
      </w:r>
    </w:p>
    <w:p w14:paraId="5966E8AC" w14:textId="77777777" w:rsidR="00EB5384" w:rsidRPr="00BB520C" w:rsidRDefault="00D31723" w:rsidP="00052E3B">
      <w:pPr>
        <w:jc w:val="both"/>
        <w:rPr>
          <w:rFonts w:ascii="Aptos" w:hAnsi="Aptos"/>
        </w:rPr>
      </w:pPr>
      <w:r w:rsidRPr="00BB520C">
        <w:rPr>
          <w:rFonts w:ascii="Aptos" w:hAnsi="Aptos"/>
        </w:rPr>
        <w:t>TSO position: discount drivers are multiple, but volume scales financial exposure.</w:t>
      </w:r>
    </w:p>
    <w:p w14:paraId="791D70FE" w14:textId="77777777" w:rsidR="00EB5384" w:rsidRPr="00BB520C" w:rsidRDefault="00D31723" w:rsidP="00052E3B">
      <w:pPr>
        <w:jc w:val="both"/>
        <w:rPr>
          <w:rFonts w:ascii="Aptos" w:hAnsi="Aptos"/>
        </w:rPr>
      </w:pPr>
      <w:r w:rsidRPr="00BB520C">
        <w:rPr>
          <w:rFonts w:ascii="Aptos" w:hAnsi="Aptos"/>
        </w:rPr>
        <w:t>TSOs agree that excess volume is not the root cause but a risk amplifier. Larger volumes amplify the financial impact of underpricing.</w:t>
      </w:r>
    </w:p>
    <w:p w14:paraId="5087C640" w14:textId="6658522F" w:rsidR="00EB5384" w:rsidRPr="001C0502" w:rsidRDefault="00526B26" w:rsidP="00052E3B">
      <w:pPr>
        <w:jc w:val="both"/>
        <w:rPr>
          <w:rFonts w:ascii="Aptos Display" w:eastAsia="Times New Roman" w:hAnsi="Aptos Display" w:cs="Times New Roman"/>
          <w:color w:val="0F4761"/>
          <w:kern w:val="2"/>
          <w:sz w:val="28"/>
          <w:szCs w:val="32"/>
          <w14:ligatures w14:val="standardContextual"/>
        </w:rPr>
      </w:pPr>
      <w:r w:rsidRPr="001C0502">
        <w:rPr>
          <w:rFonts w:ascii="Aptos Display" w:eastAsia="Times New Roman" w:hAnsi="Aptos Display" w:cs="Times New Roman"/>
          <w:color w:val="0F4761"/>
          <w:kern w:val="2"/>
          <w:sz w:val="28"/>
          <w:szCs w:val="32"/>
          <w14:ligatures w14:val="standardContextual"/>
        </w:rPr>
        <w:t>5</w:t>
      </w:r>
      <w:r w:rsidR="00D31723" w:rsidRPr="001C0502">
        <w:rPr>
          <w:rFonts w:ascii="Aptos Display" w:eastAsia="Times New Roman" w:hAnsi="Aptos Display" w:cs="Times New Roman"/>
          <w:color w:val="0F4761"/>
          <w:kern w:val="2"/>
          <w:sz w:val="28"/>
          <w:szCs w:val="32"/>
          <w14:ligatures w14:val="standardContextual"/>
        </w:rPr>
        <w:t>. TSO Financial Risk and Risk Allocation</w:t>
      </w:r>
    </w:p>
    <w:p w14:paraId="7C29DFF8" w14:textId="2AC63E65" w:rsidR="00EB5384" w:rsidRPr="00BB520C" w:rsidRDefault="00D31723" w:rsidP="00052E3B">
      <w:pPr>
        <w:jc w:val="both"/>
        <w:rPr>
          <w:rFonts w:ascii="Aptos" w:hAnsi="Aptos"/>
          <w:i/>
          <w:iCs/>
        </w:rPr>
      </w:pPr>
      <w:r w:rsidRPr="00BB520C">
        <w:rPr>
          <w:rFonts w:ascii="Aptos" w:hAnsi="Aptos"/>
          <w:i/>
          <w:iCs/>
        </w:rPr>
        <w:t xml:space="preserve">MP argument: Market participants argue TSO risk is overstated as congestion income sufficiently covers TSO risks and the </w:t>
      </w:r>
      <w:r w:rsidR="00D43DAB" w:rsidRPr="00BB520C">
        <w:rPr>
          <w:rFonts w:ascii="Aptos" w:hAnsi="Aptos"/>
          <w:i/>
          <w:iCs/>
        </w:rPr>
        <w:t>LTTRs volume reduction</w:t>
      </w:r>
      <w:r w:rsidRPr="00BB520C">
        <w:rPr>
          <w:rFonts w:ascii="Aptos" w:hAnsi="Aptos"/>
          <w:i/>
          <w:iCs/>
        </w:rPr>
        <w:t xml:space="preserve"> proposal shifts risk to market participants.</w:t>
      </w:r>
    </w:p>
    <w:p w14:paraId="76512136" w14:textId="1FD24D9E" w:rsidR="00C40C83" w:rsidRPr="00BB520C" w:rsidRDefault="00D31723" w:rsidP="00052E3B">
      <w:pPr>
        <w:jc w:val="both"/>
        <w:rPr>
          <w:rFonts w:ascii="Aptos" w:hAnsi="Aptos"/>
        </w:rPr>
      </w:pPr>
      <w:r w:rsidRPr="00BB520C">
        <w:rPr>
          <w:rFonts w:ascii="Aptos" w:hAnsi="Aptos"/>
        </w:rPr>
        <w:t xml:space="preserve">TSO position: </w:t>
      </w:r>
      <w:r w:rsidR="00C40C83" w:rsidRPr="00BB520C">
        <w:rPr>
          <w:rFonts w:ascii="Aptos" w:hAnsi="Aptos"/>
        </w:rPr>
        <w:t xml:space="preserve">There has been a significant increase in regulatory risk that TSOs’ financial exposure may no longer be limited to congestion income. On 11 April 2025, ACER issued a </w:t>
      </w:r>
      <w:r w:rsidR="00C40C83" w:rsidRPr="00BB520C">
        <w:rPr>
          <w:rFonts w:ascii="Aptos" w:hAnsi="Aptos"/>
        </w:rPr>
        <w:lastRenderedPageBreak/>
        <w:t xml:space="preserve">public opinion on FTR curtailment, and on 24 November 2025, the Estonian NRA issued an </w:t>
      </w:r>
      <w:r w:rsidR="00D85251" w:rsidRPr="00BB520C">
        <w:rPr>
          <w:rFonts w:ascii="Aptos" w:hAnsi="Aptos"/>
        </w:rPr>
        <w:t xml:space="preserve">Junction </w:t>
      </w:r>
      <w:r w:rsidR="00C40C83" w:rsidRPr="00BB520C">
        <w:rPr>
          <w:rFonts w:ascii="Aptos" w:hAnsi="Aptos"/>
        </w:rPr>
        <w:t>prohibiting curtailment of FTRs on the EE–LV border, using similar reasoning.</w:t>
      </w:r>
    </w:p>
    <w:p w14:paraId="21740397" w14:textId="77A110FF" w:rsidR="00C40C83" w:rsidRPr="00BB520C" w:rsidRDefault="00C40C83" w:rsidP="00052E3B">
      <w:pPr>
        <w:jc w:val="both"/>
        <w:rPr>
          <w:rFonts w:ascii="Aptos" w:hAnsi="Aptos"/>
        </w:rPr>
      </w:pPr>
      <w:r w:rsidRPr="00BB520C">
        <w:rPr>
          <w:rFonts w:ascii="Aptos" w:hAnsi="Aptos"/>
        </w:rPr>
        <w:t xml:space="preserve">Although this </w:t>
      </w:r>
      <w:r w:rsidR="00D85251" w:rsidRPr="00BB520C">
        <w:rPr>
          <w:rFonts w:ascii="Aptos" w:hAnsi="Aptos"/>
        </w:rPr>
        <w:t xml:space="preserve">Junction </w:t>
      </w:r>
      <w:r w:rsidRPr="00BB520C">
        <w:rPr>
          <w:rFonts w:ascii="Aptos" w:hAnsi="Aptos"/>
        </w:rPr>
        <w:t>will be challenged in court, until a decision is reached, there remains a regulatory risk that TSOs’ financial exposure is not limited by congestion income.</w:t>
      </w:r>
      <w:r w:rsidR="006562FE">
        <w:rPr>
          <w:rFonts w:ascii="Aptos" w:hAnsi="Aptos"/>
        </w:rPr>
        <w:t xml:space="preserve"> </w:t>
      </w:r>
      <w:r w:rsidR="005C76E8">
        <w:rPr>
          <w:rFonts w:ascii="Aptos" w:hAnsi="Aptos"/>
        </w:rPr>
        <w:t>It must be noted that c</w:t>
      </w:r>
      <w:r w:rsidR="005C76E8" w:rsidRPr="005C76E8">
        <w:rPr>
          <w:rFonts w:ascii="Aptos" w:hAnsi="Aptos"/>
        </w:rPr>
        <w:t xml:space="preserve">ongestion income accumulated in previous years may already have been used or committed </w:t>
      </w:r>
      <w:proofErr w:type="gramStart"/>
      <w:r w:rsidR="005C76E8" w:rsidRPr="005C76E8">
        <w:rPr>
          <w:rFonts w:ascii="Aptos" w:hAnsi="Aptos"/>
        </w:rPr>
        <w:t>at the moment</w:t>
      </w:r>
      <w:proofErr w:type="gramEnd"/>
      <w:r w:rsidR="005C76E8" w:rsidRPr="005C76E8">
        <w:rPr>
          <w:rFonts w:ascii="Aptos" w:hAnsi="Aptos"/>
        </w:rPr>
        <w:t xml:space="preserve"> the risk </w:t>
      </w:r>
      <w:proofErr w:type="spellStart"/>
      <w:r w:rsidR="005C76E8" w:rsidRPr="005C76E8">
        <w:rPr>
          <w:rFonts w:ascii="Aptos" w:hAnsi="Aptos"/>
        </w:rPr>
        <w:t>materialises</w:t>
      </w:r>
      <w:proofErr w:type="spellEnd"/>
      <w:r w:rsidR="005C76E8" w:rsidRPr="005C76E8">
        <w:rPr>
          <w:rFonts w:ascii="Aptos" w:hAnsi="Aptos"/>
        </w:rPr>
        <w:t>.</w:t>
      </w:r>
    </w:p>
    <w:p w14:paraId="3375AC5C" w14:textId="7ABA6BC7" w:rsidR="00EB5384" w:rsidRPr="00BB520C" w:rsidRDefault="00D31723" w:rsidP="00052E3B">
      <w:pPr>
        <w:jc w:val="both"/>
        <w:rPr>
          <w:rFonts w:ascii="Aptos" w:hAnsi="Aptos"/>
        </w:rPr>
      </w:pPr>
      <w:r w:rsidRPr="00BB520C">
        <w:rPr>
          <w:rFonts w:ascii="Aptos" w:hAnsi="Aptos"/>
        </w:rPr>
        <w:t xml:space="preserve">TSOs do not view this as mitigating only extreme outcomes, but as safeguarding the </w:t>
      </w:r>
      <w:r w:rsidR="005A6EAE" w:rsidRPr="00BB520C">
        <w:rPr>
          <w:rFonts w:ascii="Aptos" w:hAnsi="Aptos"/>
        </w:rPr>
        <w:t>LTTRs</w:t>
      </w:r>
      <w:r w:rsidRPr="00BB520C">
        <w:rPr>
          <w:rFonts w:ascii="Aptos" w:hAnsi="Aptos"/>
        </w:rPr>
        <w:t xml:space="preserve"> market in a new reality where intentional cable damage is a recurring phenomenon.</w:t>
      </w:r>
    </w:p>
    <w:p w14:paraId="03E018CF" w14:textId="6300D6BA" w:rsidR="00EB5384" w:rsidRPr="00BB520C" w:rsidRDefault="00D31723" w:rsidP="00052E3B">
      <w:pPr>
        <w:jc w:val="both"/>
        <w:rPr>
          <w:rFonts w:ascii="Aptos" w:hAnsi="Aptos"/>
        </w:rPr>
      </w:pPr>
      <w:r w:rsidRPr="00BB520C">
        <w:rPr>
          <w:rFonts w:ascii="Aptos" w:hAnsi="Aptos"/>
        </w:rPr>
        <w:t xml:space="preserve">If TSOs limit their risk exposure when offering </w:t>
      </w:r>
      <w:r w:rsidR="005A6EAE" w:rsidRPr="00BB520C">
        <w:rPr>
          <w:rFonts w:ascii="Aptos" w:hAnsi="Aptos"/>
        </w:rPr>
        <w:t>LTTR</w:t>
      </w:r>
      <w:r w:rsidRPr="00BB520C">
        <w:rPr>
          <w:rFonts w:ascii="Aptos" w:hAnsi="Aptos"/>
        </w:rPr>
        <w:t>s by aligning volumes with interconnector capacity and expected congestion income, the risk of unforeseen costs being passed on to network tariffs is reduced. In principle, LTTR-related risks should not be borne by network tariffs, as costs should follow beneficiaries (hedging users).</w:t>
      </w:r>
    </w:p>
    <w:p w14:paraId="2D1896F4" w14:textId="3F4C2B54" w:rsidR="00EB5384" w:rsidRPr="00BB520C" w:rsidRDefault="00D31723" w:rsidP="00052E3B">
      <w:pPr>
        <w:jc w:val="both"/>
        <w:rPr>
          <w:rFonts w:ascii="Aptos" w:hAnsi="Aptos"/>
        </w:rPr>
      </w:pPr>
      <w:r w:rsidRPr="00BB520C">
        <w:rPr>
          <w:rFonts w:ascii="Aptos" w:hAnsi="Aptos"/>
        </w:rPr>
        <w:t>It must be noted that the Estonian NRA has also guided</w:t>
      </w:r>
      <w:r w:rsidR="00E00738" w:rsidRPr="00BB520C">
        <w:rPr>
          <w:rStyle w:val="FootnoteReference"/>
          <w:rFonts w:ascii="Aptos" w:hAnsi="Aptos"/>
        </w:rPr>
        <w:footnoteReference w:id="7"/>
      </w:r>
      <w:r w:rsidRPr="00BB520C">
        <w:rPr>
          <w:rFonts w:ascii="Aptos" w:hAnsi="Aptos"/>
        </w:rPr>
        <w:t xml:space="preserve"> that TSO risk from LTTRs is directly linked to issued volumes and that TSOs may design allocation methodology accordingly under FCA Article 16.</w:t>
      </w:r>
    </w:p>
    <w:p w14:paraId="68391559" w14:textId="2520E1CA" w:rsidR="00EB5384" w:rsidRPr="00BB520C" w:rsidRDefault="00526B26" w:rsidP="00BB520C">
      <w:pPr>
        <w:pStyle w:val="Heading2"/>
      </w:pPr>
      <w:r w:rsidRPr="00BB520C">
        <w:t>6</w:t>
      </w:r>
      <w:r w:rsidR="00D31723" w:rsidRPr="00BB520C">
        <w:t>. Congestion Income Use and Limits</w:t>
      </w:r>
    </w:p>
    <w:p w14:paraId="7E2B5292" w14:textId="77777777" w:rsidR="00EB5384" w:rsidRPr="00BB520C" w:rsidRDefault="00D31723" w:rsidP="00052E3B">
      <w:pPr>
        <w:jc w:val="both"/>
        <w:rPr>
          <w:rFonts w:ascii="Aptos" w:hAnsi="Aptos"/>
          <w:i/>
          <w:iCs/>
        </w:rPr>
      </w:pPr>
      <w:r w:rsidRPr="00BB520C">
        <w:rPr>
          <w:rFonts w:ascii="Aptos" w:hAnsi="Aptos"/>
          <w:i/>
          <w:iCs/>
        </w:rPr>
        <w:t>MP argument: congestion income is large and sufficient.</w:t>
      </w:r>
    </w:p>
    <w:p w14:paraId="5DD1F9FA" w14:textId="77777777" w:rsidR="00EB5384" w:rsidRPr="00BB520C" w:rsidRDefault="00D31723" w:rsidP="00052E3B">
      <w:pPr>
        <w:jc w:val="both"/>
        <w:rPr>
          <w:rFonts w:ascii="Aptos" w:hAnsi="Aptos"/>
        </w:rPr>
      </w:pPr>
      <w:r w:rsidRPr="00BB520C">
        <w:rPr>
          <w:rFonts w:ascii="Aptos" w:hAnsi="Aptos"/>
        </w:rPr>
        <w:t>TSO position: congestion income is uncertain and flow-dependent and cannot be treated as a guaranteed buffer. During outages, day-ahead congestion income may be zero.</w:t>
      </w:r>
    </w:p>
    <w:p w14:paraId="666E9D34" w14:textId="13EC8664" w:rsidR="005F0B12" w:rsidRPr="00BB520C" w:rsidRDefault="00D31723" w:rsidP="00052E3B">
      <w:pPr>
        <w:jc w:val="both"/>
        <w:rPr>
          <w:rFonts w:ascii="Aptos" w:hAnsi="Aptos"/>
        </w:rPr>
      </w:pPr>
      <w:r w:rsidRPr="00BB520C">
        <w:rPr>
          <w:rFonts w:ascii="Aptos" w:hAnsi="Aptos"/>
        </w:rPr>
        <w:t>According to the FRC methodology</w:t>
      </w:r>
      <w:r w:rsidR="00AF6768" w:rsidRPr="00BB520C">
        <w:rPr>
          <w:rStyle w:val="FootnoteReference"/>
          <w:rFonts w:ascii="Aptos" w:hAnsi="Aptos"/>
        </w:rPr>
        <w:footnoteReference w:id="8"/>
      </w:r>
      <w:r w:rsidRPr="00BB520C">
        <w:rPr>
          <w:rFonts w:ascii="Aptos" w:hAnsi="Aptos"/>
        </w:rPr>
        <w:t>, remaining remuneration costs must ultimately be covered by other congestion income or TSO financial resources.</w:t>
      </w:r>
      <w:r w:rsidR="00196647" w:rsidRPr="00BB520C">
        <w:rPr>
          <w:rFonts w:ascii="Aptos" w:hAnsi="Aptos"/>
        </w:rPr>
        <w:t xml:space="preserve"> </w:t>
      </w:r>
      <w:r w:rsidR="00196647" w:rsidRPr="00BB520C">
        <w:rPr>
          <w:rFonts w:ascii="Aptos" w:hAnsi="Aptos" w:cstheme="minorHAnsi"/>
          <w:lang w:val="en-GB"/>
        </w:rPr>
        <w:t>Congestion income accumulated in previous years may already have been used or committed</w:t>
      </w:r>
      <w:r w:rsidR="00196647" w:rsidRPr="00BB520C">
        <w:rPr>
          <w:rStyle w:val="FootnoteReference"/>
          <w:rFonts w:ascii="Aptos" w:hAnsi="Aptos" w:cstheme="minorHAnsi"/>
          <w:lang w:val="en-GB"/>
        </w:rPr>
        <w:footnoteReference w:id="9"/>
      </w:r>
      <w:r w:rsidR="0061402F" w:rsidRPr="00BB520C">
        <w:rPr>
          <w:rFonts w:ascii="Aptos" w:hAnsi="Aptos" w:cstheme="minorHAnsi"/>
          <w:lang w:val="en-GB"/>
        </w:rPr>
        <w:t xml:space="preserve"> </w:t>
      </w:r>
      <w:r w:rsidR="00196647" w:rsidRPr="00BB520C">
        <w:rPr>
          <w:rFonts w:ascii="Aptos" w:hAnsi="Aptos" w:cstheme="minorHAnsi"/>
          <w:lang w:val="en-GB"/>
        </w:rPr>
        <w:t>at the moment the risk materialises. Therefore, when assessing the sufficiency of congestion income, it is reasonable to consider only the congestion income that would be additionally generated during the specific year. Based on previous years, an annual congestion income potential of €100 million can be considered reasonable on FI-EE border.</w:t>
      </w:r>
      <w:r w:rsidR="005F0B12" w:rsidRPr="00BB520C">
        <w:rPr>
          <w:rFonts w:ascii="Aptos" w:hAnsi="Aptos"/>
        </w:rPr>
        <w:t xml:space="preserve"> </w:t>
      </w:r>
    </w:p>
    <w:p w14:paraId="70711A17" w14:textId="7C6C6964" w:rsidR="00196647" w:rsidRPr="00BB520C" w:rsidRDefault="005F0B12" w:rsidP="4801E5D8">
      <w:pPr>
        <w:jc w:val="both"/>
        <w:rPr>
          <w:rFonts w:ascii="Aptos" w:hAnsi="Aptos"/>
          <w:b/>
          <w:bCs/>
          <w:lang w:val="en-GB"/>
        </w:rPr>
      </w:pPr>
      <w:r w:rsidRPr="00BB520C">
        <w:rPr>
          <w:rFonts w:ascii="Aptos" w:hAnsi="Aptos"/>
          <w:b/>
          <w:bCs/>
        </w:rPr>
        <w:t xml:space="preserve">Taking into account MP </w:t>
      </w:r>
      <w:r w:rsidR="00BD2D0F" w:rsidRPr="00BB520C">
        <w:rPr>
          <w:rFonts w:ascii="Aptos" w:hAnsi="Aptos"/>
          <w:b/>
          <w:bCs/>
        </w:rPr>
        <w:t xml:space="preserve">feedback and taking more </w:t>
      </w:r>
      <w:r w:rsidR="005C76E8">
        <w:rPr>
          <w:rFonts w:ascii="Aptos" w:hAnsi="Aptos"/>
          <w:b/>
          <w:bCs/>
        </w:rPr>
        <w:t>optimistic</w:t>
      </w:r>
      <w:r w:rsidR="005C76E8" w:rsidRPr="00BB520C">
        <w:rPr>
          <w:rFonts w:ascii="Aptos" w:hAnsi="Aptos"/>
          <w:b/>
          <w:bCs/>
        </w:rPr>
        <w:t xml:space="preserve"> </w:t>
      </w:r>
      <w:r w:rsidR="00BD2D0F" w:rsidRPr="00BB520C">
        <w:rPr>
          <w:rFonts w:ascii="Aptos" w:hAnsi="Aptos"/>
          <w:b/>
          <w:bCs/>
        </w:rPr>
        <w:t>estimations for</w:t>
      </w:r>
      <w:r w:rsidR="00F9328C" w:rsidRPr="00BB520C">
        <w:rPr>
          <w:rFonts w:ascii="Aptos" w:hAnsi="Aptos"/>
          <w:b/>
          <w:bCs/>
        </w:rPr>
        <w:t xml:space="preserve"> congestion income calculations (</w:t>
      </w:r>
      <w:r w:rsidR="00BD2D0F" w:rsidRPr="00BB520C">
        <w:rPr>
          <w:rFonts w:ascii="Aptos" w:hAnsi="Aptos"/>
          <w:b/>
          <w:bCs/>
        </w:rPr>
        <w:t>price differences</w:t>
      </w:r>
      <w:r w:rsidR="00F9328C" w:rsidRPr="00BB520C">
        <w:rPr>
          <w:rFonts w:ascii="Aptos" w:hAnsi="Aptos"/>
          <w:b/>
          <w:bCs/>
        </w:rPr>
        <w:t xml:space="preserve"> in normal and</w:t>
      </w:r>
      <w:r w:rsidR="00BD2D0F" w:rsidRPr="00BB520C">
        <w:rPr>
          <w:rFonts w:ascii="Aptos" w:hAnsi="Aptos"/>
          <w:b/>
          <w:bCs/>
        </w:rPr>
        <w:t xml:space="preserve"> in </w:t>
      </w:r>
      <w:r w:rsidR="00F9328C" w:rsidRPr="00BB520C">
        <w:rPr>
          <w:rFonts w:ascii="Aptos" w:hAnsi="Aptos"/>
          <w:b/>
          <w:bCs/>
        </w:rPr>
        <w:t xml:space="preserve">outage situations, LTTR prices) </w:t>
      </w:r>
      <w:r w:rsidRPr="00BB520C">
        <w:rPr>
          <w:rFonts w:ascii="Aptos" w:hAnsi="Aptos"/>
          <w:b/>
          <w:bCs/>
          <w:lang w:val="en-GB"/>
        </w:rPr>
        <w:t xml:space="preserve">TSOs </w:t>
      </w:r>
      <w:r w:rsidR="03390E96" w:rsidRPr="00BB520C">
        <w:rPr>
          <w:rFonts w:ascii="Aptos" w:hAnsi="Aptos"/>
          <w:b/>
          <w:bCs/>
          <w:lang w:val="en-GB"/>
        </w:rPr>
        <w:t>are</w:t>
      </w:r>
      <w:r w:rsidRPr="00BB520C">
        <w:rPr>
          <w:rFonts w:ascii="Aptos" w:hAnsi="Aptos"/>
          <w:b/>
          <w:bCs/>
          <w:lang w:val="en-GB"/>
        </w:rPr>
        <w:t xml:space="preserve"> increasing the yearly volume to 200 MW and setting the monthly volume to 150 MW, while keeping the total </w:t>
      </w:r>
      <w:r w:rsidR="00BC778A" w:rsidRPr="00BB520C">
        <w:rPr>
          <w:rFonts w:ascii="Aptos" w:hAnsi="Aptos"/>
          <w:b/>
          <w:bCs/>
          <w:lang w:val="en-GB"/>
        </w:rPr>
        <w:t>FI-EE LTTR volume</w:t>
      </w:r>
      <w:r w:rsidRPr="00BB520C">
        <w:rPr>
          <w:rFonts w:ascii="Aptos" w:hAnsi="Aptos"/>
          <w:b/>
          <w:bCs/>
          <w:lang w:val="en-GB"/>
        </w:rPr>
        <w:t xml:space="preserve"> at 350 MW and thereby improving the long-term hedging availability while keeping the firmness objective unchanged.</w:t>
      </w:r>
    </w:p>
    <w:p w14:paraId="6584E5C0" w14:textId="2C21EA10" w:rsidR="00EB5384" w:rsidRPr="00BB520C" w:rsidRDefault="00526B26" w:rsidP="00BB520C">
      <w:pPr>
        <w:pStyle w:val="Heading2"/>
      </w:pPr>
      <w:r w:rsidRPr="00BB520C">
        <w:lastRenderedPageBreak/>
        <w:t>7</w:t>
      </w:r>
      <w:r w:rsidR="00D31723" w:rsidRPr="00BB520C">
        <w:t>. Legal Constraints (Curtailment &amp; Force Majeure)</w:t>
      </w:r>
    </w:p>
    <w:p w14:paraId="14BFA3C6" w14:textId="77777777" w:rsidR="00A72C77" w:rsidRPr="00BB520C" w:rsidRDefault="00A72C77" w:rsidP="00052E3B">
      <w:pPr>
        <w:jc w:val="both"/>
        <w:rPr>
          <w:rFonts w:ascii="Aptos" w:hAnsi="Aptos"/>
          <w:i/>
          <w:iCs/>
          <w:lang w:val="et-EE"/>
        </w:rPr>
      </w:pPr>
      <w:r w:rsidRPr="00BB520C">
        <w:rPr>
          <w:rFonts w:ascii="Aptos" w:hAnsi="Aptos"/>
          <w:i/>
          <w:iCs/>
          <w:lang w:val="et-EE"/>
        </w:rPr>
        <w:t>MP argument: Legal clarity should precede any changes to LTTR volumes.</w:t>
      </w:r>
    </w:p>
    <w:p w14:paraId="16FAAB77" w14:textId="77777777" w:rsidR="00A72C77" w:rsidRPr="00BB520C" w:rsidRDefault="00A72C77" w:rsidP="00052E3B">
      <w:pPr>
        <w:jc w:val="both"/>
        <w:rPr>
          <w:rFonts w:ascii="Aptos" w:hAnsi="Aptos"/>
          <w:lang w:val="et-EE"/>
        </w:rPr>
      </w:pPr>
      <w:r w:rsidRPr="00BB520C">
        <w:rPr>
          <w:rFonts w:ascii="Aptos" w:hAnsi="Aptos"/>
          <w:lang w:val="et-EE"/>
        </w:rPr>
        <w:t>TSO position: Regulatory uncertainty increases risk exposure for both TSOs and market participants. It should be noted that there are two distinct legal uncertainties: one related to past curtailment decisions (force majeure), and another concerning potential limitations on future curtailment. Until greater legal clarity is achieved, TSOs will continue to act in accordance with the FCA Regulation, including Article 56.</w:t>
      </w:r>
    </w:p>
    <w:p w14:paraId="7E2921F3" w14:textId="69EE6F67" w:rsidR="00A72C77" w:rsidRPr="00BB520C" w:rsidRDefault="0040295C" w:rsidP="00052E3B">
      <w:pPr>
        <w:jc w:val="both"/>
        <w:rPr>
          <w:rFonts w:ascii="Aptos" w:hAnsi="Aptos"/>
        </w:rPr>
      </w:pPr>
      <w:r w:rsidRPr="00BB520C">
        <w:rPr>
          <w:rFonts w:ascii="Aptos" w:hAnsi="Aptos"/>
        </w:rPr>
        <w:t>TSOs fully agree on the need for legal clarity and support continued stakeholder dialogue on these topics. The present amendment to the methodology addresses the immediate need to ensure the firmness of LTTR issuance under the current interpretative framework while keeping TSO financial risk at a limited level. At the same time, TSOs continue to engage in processes aimed at achieving greater legal certainty regarding firmness and curtailment. The scope of the TSOs’ proposal is limited to the capacity splitting methodology.</w:t>
      </w:r>
    </w:p>
    <w:p w14:paraId="54E4E184" w14:textId="75E5DDF2" w:rsidR="00EB5384" w:rsidRPr="00BB520C" w:rsidRDefault="00526B26" w:rsidP="00BB520C">
      <w:pPr>
        <w:pStyle w:val="Heading2"/>
      </w:pPr>
      <w:r w:rsidRPr="00BB520C">
        <w:t>8</w:t>
      </w:r>
      <w:r w:rsidR="00D31723" w:rsidRPr="00BB520C">
        <w:t>. Interconnector Outage Risk</w:t>
      </w:r>
      <w:r w:rsidR="007C7076" w:rsidRPr="00BB520C">
        <w:t xml:space="preserve"> </w:t>
      </w:r>
      <w:r w:rsidR="003C0290" w:rsidRPr="00BB520C">
        <w:t xml:space="preserve">and TSO </w:t>
      </w:r>
      <w:r w:rsidR="007E2068" w:rsidRPr="00BB520C">
        <w:t>obligations</w:t>
      </w:r>
    </w:p>
    <w:p w14:paraId="4E530834" w14:textId="619A235B" w:rsidR="00EB5384" w:rsidRPr="00BB520C" w:rsidRDefault="00D31723" w:rsidP="00052E3B">
      <w:pPr>
        <w:jc w:val="both"/>
        <w:rPr>
          <w:rFonts w:ascii="Aptos" w:hAnsi="Aptos"/>
          <w:i/>
          <w:iCs/>
        </w:rPr>
      </w:pPr>
      <w:r w:rsidRPr="00BB520C">
        <w:rPr>
          <w:rFonts w:ascii="Aptos" w:hAnsi="Aptos"/>
          <w:i/>
          <w:iCs/>
        </w:rPr>
        <w:t>MP argument: dual cable outage is unlikely</w:t>
      </w:r>
      <w:r w:rsidR="003302C0" w:rsidRPr="00BB520C">
        <w:rPr>
          <w:rFonts w:ascii="Aptos" w:hAnsi="Aptos"/>
          <w:i/>
          <w:iCs/>
        </w:rPr>
        <w:t>.</w:t>
      </w:r>
      <w:r w:rsidR="00C56CB3" w:rsidRPr="00BB520C">
        <w:rPr>
          <w:rFonts w:ascii="Aptos" w:hAnsi="Aptos"/>
          <w:i/>
          <w:iCs/>
        </w:rPr>
        <w:t xml:space="preserve"> </w:t>
      </w:r>
      <w:r w:rsidR="00061B7B" w:rsidRPr="00BB520C">
        <w:rPr>
          <w:rFonts w:ascii="Aptos" w:hAnsi="Aptos"/>
          <w:i/>
          <w:iCs/>
        </w:rPr>
        <w:t>T</w:t>
      </w:r>
      <w:r w:rsidR="00153B45" w:rsidRPr="00BB520C">
        <w:rPr>
          <w:rFonts w:ascii="Aptos" w:hAnsi="Aptos"/>
          <w:i/>
          <w:iCs/>
        </w:rPr>
        <w:t>SOs</w:t>
      </w:r>
      <w:r w:rsidR="00061B7B" w:rsidRPr="00BB520C">
        <w:rPr>
          <w:rFonts w:ascii="Aptos" w:hAnsi="Aptos"/>
          <w:i/>
          <w:iCs/>
        </w:rPr>
        <w:t xml:space="preserve"> collect congestion income specifically to manage grid constraints and ensure availability</w:t>
      </w:r>
      <w:r w:rsidR="00C128FE" w:rsidRPr="00BB520C">
        <w:rPr>
          <w:rFonts w:ascii="Aptos" w:hAnsi="Aptos"/>
          <w:i/>
          <w:iCs/>
        </w:rPr>
        <w:t xml:space="preserve"> and</w:t>
      </w:r>
      <w:r w:rsidR="00C56CB3" w:rsidRPr="00BB520C">
        <w:rPr>
          <w:rFonts w:ascii="Aptos" w:hAnsi="Aptos"/>
          <w:i/>
          <w:iCs/>
        </w:rPr>
        <w:t xml:space="preserve"> </w:t>
      </w:r>
      <w:r w:rsidR="00B8003C" w:rsidRPr="00BB520C">
        <w:rPr>
          <w:rFonts w:ascii="Aptos" w:hAnsi="Aptos"/>
          <w:i/>
          <w:iCs/>
        </w:rPr>
        <w:t xml:space="preserve">are </w:t>
      </w:r>
      <w:r w:rsidR="00C56CB3" w:rsidRPr="00BB520C">
        <w:rPr>
          <w:rFonts w:ascii="Aptos" w:hAnsi="Aptos"/>
          <w:i/>
          <w:iCs/>
        </w:rPr>
        <w:t>the only ones having risk mitigation opportunities</w:t>
      </w:r>
      <w:r w:rsidR="00C128FE" w:rsidRPr="00BB520C">
        <w:rPr>
          <w:rFonts w:ascii="Aptos" w:hAnsi="Aptos"/>
          <w:i/>
          <w:iCs/>
        </w:rPr>
        <w:t>.</w:t>
      </w:r>
    </w:p>
    <w:p w14:paraId="1AECCCA0" w14:textId="73EC53C3" w:rsidR="7942C03B" w:rsidRPr="00BB520C" w:rsidRDefault="00D31723" w:rsidP="4801E5D8">
      <w:pPr>
        <w:jc w:val="both"/>
        <w:rPr>
          <w:rFonts w:ascii="Aptos" w:hAnsi="Aptos"/>
        </w:rPr>
      </w:pPr>
      <w:r w:rsidRPr="00BB520C">
        <w:rPr>
          <w:rFonts w:ascii="Aptos" w:hAnsi="Aptos"/>
        </w:rPr>
        <w:t xml:space="preserve">TSO position: </w:t>
      </w:r>
      <w:r w:rsidR="7942C03B" w:rsidRPr="00BB520C">
        <w:rPr>
          <w:rFonts w:ascii="Aptos" w:hAnsi="Aptos"/>
        </w:rPr>
        <w:t>The TSOs’ proposal is proportionate in ensuring firmness and predictable hedging value. Recent Estlink outages in 2024 and 2025 show that prolonged outages are realistic, with repair times exceeding six months. System design must therefore consider credible worst-case scenarios. Regulation (EU) 2019/943, Article 19, provides that congestion income shall be used for system benefit, including supporting hedging opportunities, but not for arbitrage.</w:t>
      </w:r>
    </w:p>
    <w:p w14:paraId="78F4BA64" w14:textId="4CF7234E" w:rsidR="7942C03B" w:rsidRPr="00BB520C" w:rsidRDefault="7942C03B" w:rsidP="4801E5D8">
      <w:pPr>
        <w:jc w:val="both"/>
        <w:rPr>
          <w:rFonts w:ascii="Aptos" w:hAnsi="Aptos"/>
        </w:rPr>
      </w:pPr>
      <w:r w:rsidRPr="00BB520C">
        <w:rPr>
          <w:rFonts w:ascii="Aptos" w:hAnsi="Aptos"/>
        </w:rPr>
        <w:t>TSOs are committed to maintaining the Estlink interconnectors and, in cooperation with Estonian and Finnish authorities, use congestion income to strengthen subsea cable protection. TSOs are also strongly incentivised to restore interconnectors quickly, both to ensure security of supply and because congestion income is only generated when commercial flows occur.</w:t>
      </w:r>
    </w:p>
    <w:p w14:paraId="07DF5DA7" w14:textId="6D004108" w:rsidR="7942C03B" w:rsidRPr="00BB520C" w:rsidRDefault="7942C03B" w:rsidP="4801E5D8">
      <w:pPr>
        <w:jc w:val="both"/>
        <w:rPr>
          <w:rFonts w:ascii="Aptos" w:hAnsi="Aptos"/>
        </w:rPr>
      </w:pPr>
      <w:r w:rsidRPr="00BB520C">
        <w:rPr>
          <w:rFonts w:ascii="Aptos" w:hAnsi="Aptos"/>
        </w:rPr>
        <w:t>TSOs have taken measures to reduce outage durations (e.g. spare parts, contracts, cooperation with repair vessels), but repair timelines depend on external factors such as vessel availability, specialised expertise, and weather conditions. Therefore, even a six-month repair period should be considered optimistic in severe cases.</w:t>
      </w:r>
    </w:p>
    <w:p w14:paraId="7CC54BB8" w14:textId="73149C44" w:rsidR="00EB5384" w:rsidRPr="00BB520C" w:rsidRDefault="00526B26" w:rsidP="00BB520C">
      <w:pPr>
        <w:pStyle w:val="Heading2"/>
      </w:pPr>
      <w:r w:rsidRPr="00BB520C">
        <w:t>9</w:t>
      </w:r>
      <w:r w:rsidR="00D31723" w:rsidRPr="00BB520C">
        <w:t>. Alternative Measures (Caps vs Volume Reduction)</w:t>
      </w:r>
    </w:p>
    <w:p w14:paraId="15676257" w14:textId="5A9B6890" w:rsidR="00D31723" w:rsidRPr="00BB520C" w:rsidRDefault="00D31723" w:rsidP="4801E5D8">
      <w:pPr>
        <w:jc w:val="both"/>
        <w:rPr>
          <w:rFonts w:ascii="Aptos" w:hAnsi="Aptos"/>
          <w:i/>
          <w:iCs/>
        </w:rPr>
      </w:pPr>
      <w:r w:rsidRPr="00BB520C">
        <w:rPr>
          <w:rFonts w:ascii="Aptos" w:hAnsi="Aptos"/>
          <w:i/>
          <w:iCs/>
        </w:rPr>
        <w:t xml:space="preserve">MP argument: </w:t>
      </w:r>
      <w:r w:rsidR="0A149067" w:rsidRPr="00BB520C">
        <w:rPr>
          <w:rFonts w:ascii="Aptos" w:eastAsia="Cambria" w:hAnsi="Aptos" w:cs="Cambria"/>
        </w:rPr>
        <w:t>Introduce a yearly compensation cap in line with FCA Article 54 to limit TSO exposure.</w:t>
      </w:r>
    </w:p>
    <w:p w14:paraId="66501199" w14:textId="3DDCE4DA" w:rsidR="0A149067" w:rsidRPr="00BB520C" w:rsidRDefault="0A149067" w:rsidP="4801E5D8">
      <w:pPr>
        <w:spacing w:before="240" w:after="240"/>
        <w:jc w:val="both"/>
        <w:rPr>
          <w:rFonts w:ascii="Aptos" w:eastAsia="Cambria" w:hAnsi="Aptos" w:cs="Cambria"/>
        </w:rPr>
      </w:pPr>
      <w:r w:rsidRPr="00BB520C">
        <w:rPr>
          <w:rFonts w:ascii="Aptos" w:eastAsia="Cambria" w:hAnsi="Aptos" w:cs="Cambria"/>
        </w:rPr>
        <w:lastRenderedPageBreak/>
        <w:t>TSO response:</w:t>
      </w:r>
      <w:r w:rsidRPr="00BB520C">
        <w:rPr>
          <w:rFonts w:ascii="Aptos" w:eastAsia="Cambria" w:hAnsi="Aptos" w:cs="Cambria"/>
          <w:b/>
          <w:bCs/>
        </w:rPr>
        <w:t xml:space="preserve"> </w:t>
      </w:r>
      <w:r w:rsidRPr="00BB520C">
        <w:rPr>
          <w:rFonts w:ascii="Aptos" w:eastAsia="Cambria" w:hAnsi="Aptos" w:cs="Cambria"/>
        </w:rPr>
        <w:t xml:space="preserve">While FCA Article 54 provides for the possibility of applying a compensation cap, this provision is explicitly linked to situations where </w:t>
      </w:r>
      <w:r w:rsidR="763C5A5B" w:rsidRPr="00BB520C">
        <w:rPr>
          <w:rFonts w:ascii="Aptos" w:eastAsia="Cambria" w:hAnsi="Aptos" w:cs="Cambria"/>
        </w:rPr>
        <w:t>LTTRs</w:t>
      </w:r>
      <w:r w:rsidRPr="00BB520C">
        <w:rPr>
          <w:rFonts w:ascii="Aptos" w:eastAsia="Cambria" w:hAnsi="Aptos" w:cs="Cambria"/>
        </w:rPr>
        <w:t xml:space="preserve"> are curtailed. In other words, the cap mechanism is designed to limit compensation obligations arising from curtailment events.</w:t>
      </w:r>
    </w:p>
    <w:p w14:paraId="4C77B125" w14:textId="4C564AD6" w:rsidR="0A149067" w:rsidRPr="00BB520C" w:rsidRDefault="0A149067" w:rsidP="4801E5D8">
      <w:pPr>
        <w:spacing w:before="240" w:after="240"/>
        <w:jc w:val="both"/>
        <w:rPr>
          <w:rFonts w:ascii="Aptos" w:hAnsi="Aptos"/>
        </w:rPr>
      </w:pPr>
      <w:r w:rsidRPr="00BB520C">
        <w:rPr>
          <w:rFonts w:ascii="Aptos" w:eastAsia="Cambria" w:hAnsi="Aptos" w:cs="Cambria"/>
        </w:rPr>
        <w:t xml:space="preserve">However, in the current regulatory context, the applicability of such a mechanism is significantly constrained. In November 2025, the Estonian NRA issued an </w:t>
      </w:r>
      <w:r w:rsidR="00BC3D5E" w:rsidRPr="00BB520C">
        <w:rPr>
          <w:rFonts w:ascii="Aptos" w:eastAsia="Cambria" w:hAnsi="Aptos" w:cs="Cambria"/>
        </w:rPr>
        <w:t>J</w:t>
      </w:r>
      <w:r w:rsidR="003E7785" w:rsidRPr="00BB520C">
        <w:rPr>
          <w:rFonts w:ascii="Aptos" w:eastAsia="Cambria" w:hAnsi="Aptos" w:cs="Cambria"/>
        </w:rPr>
        <w:t xml:space="preserve">unction </w:t>
      </w:r>
      <w:r w:rsidRPr="00BB520C">
        <w:rPr>
          <w:rFonts w:ascii="Aptos" w:eastAsia="Cambria" w:hAnsi="Aptos" w:cs="Cambria"/>
        </w:rPr>
        <w:t>to Elering, providing clear guidance that FTRs must not be curtailed. This position is consistent with the interpretation also reflected in ACER’s Opinion 02/2025.</w:t>
      </w:r>
    </w:p>
    <w:p w14:paraId="323C1194" w14:textId="57CFB921" w:rsidR="0A149067" w:rsidRPr="00BB520C" w:rsidRDefault="0A149067" w:rsidP="4801E5D8">
      <w:pPr>
        <w:spacing w:before="240" w:after="240"/>
        <w:jc w:val="both"/>
        <w:rPr>
          <w:rFonts w:ascii="Aptos" w:hAnsi="Aptos"/>
        </w:rPr>
      </w:pPr>
      <w:r w:rsidRPr="00BB520C">
        <w:rPr>
          <w:rFonts w:ascii="Aptos" w:eastAsia="Cambria" w:hAnsi="Aptos" w:cs="Cambria"/>
        </w:rPr>
        <w:t>As a result, the regulatory framework effectively removes curtailment as a viable risk mitigation tool. Consequently, the compensation cap foreseen under Article 54 cannot be relied upon in practice, as its application presupposes the ability to curtail FTRs.</w:t>
      </w:r>
    </w:p>
    <w:p w14:paraId="39C976C5" w14:textId="6FB46B17" w:rsidR="0A149067" w:rsidRPr="00BB520C" w:rsidRDefault="0A149067" w:rsidP="4801E5D8">
      <w:pPr>
        <w:spacing w:before="240" w:after="240"/>
        <w:jc w:val="both"/>
        <w:rPr>
          <w:rFonts w:ascii="Aptos" w:eastAsia="Cambria" w:hAnsi="Aptos" w:cs="Cambria"/>
        </w:rPr>
      </w:pPr>
      <w:r w:rsidRPr="00BB520C">
        <w:rPr>
          <w:rFonts w:ascii="Aptos" w:eastAsia="Cambria" w:hAnsi="Aptos" w:cs="Cambria"/>
        </w:rPr>
        <w:t>In the absence of curtailment, TSOs must manage financial exposure through ex-ante measures, primarily by adjusting the volume of FTRs offered. Therefore, reducing FTR volumes is a necessary and proportionate response under the current regulatory constraints.</w:t>
      </w:r>
    </w:p>
    <w:p w14:paraId="23BA2C57" w14:textId="77777777" w:rsidR="002A5D58" w:rsidRPr="00BB520C" w:rsidRDefault="002A5D58" w:rsidP="4801E5D8">
      <w:pPr>
        <w:spacing w:before="240" w:after="240"/>
        <w:jc w:val="both"/>
        <w:rPr>
          <w:rFonts w:ascii="Aptos" w:eastAsia="Cambria" w:hAnsi="Aptos" w:cs="Cambria"/>
        </w:rPr>
      </w:pPr>
    </w:p>
    <w:p w14:paraId="1BCC4D86" w14:textId="77777777" w:rsidR="002A5D58" w:rsidRPr="00BB520C" w:rsidRDefault="002A5D58" w:rsidP="4801E5D8">
      <w:pPr>
        <w:spacing w:before="240" w:after="240"/>
        <w:jc w:val="both"/>
        <w:rPr>
          <w:rFonts w:ascii="Aptos" w:eastAsia="Cambria" w:hAnsi="Aptos" w:cs="Cambria"/>
        </w:rPr>
      </w:pPr>
    </w:p>
    <w:p w14:paraId="7159D144" w14:textId="77777777" w:rsidR="002A5D58" w:rsidRPr="00BB520C" w:rsidRDefault="002A5D58" w:rsidP="4801E5D8">
      <w:pPr>
        <w:spacing w:before="240" w:after="240"/>
        <w:jc w:val="both"/>
        <w:rPr>
          <w:rFonts w:ascii="Aptos" w:eastAsia="Cambria" w:hAnsi="Aptos" w:cs="Cambria"/>
        </w:rPr>
      </w:pPr>
    </w:p>
    <w:p w14:paraId="2051ED42" w14:textId="35A0C376" w:rsidR="002A5D58" w:rsidRPr="00BB520C" w:rsidRDefault="002A5D58" w:rsidP="00A40EFC">
      <w:pPr>
        <w:pStyle w:val="Heading2"/>
        <w:rPr>
          <w:rFonts w:eastAsia="Cambria" w:cs="Cambria"/>
        </w:rPr>
      </w:pPr>
      <w:r w:rsidRPr="00BB520C">
        <w:rPr>
          <w:rFonts w:eastAsia="Cambria" w:cs="Cambria"/>
        </w:rPr>
        <w:t xml:space="preserve">Annex 1: </w:t>
      </w:r>
      <w:r w:rsidR="007239A4" w:rsidRPr="00BB520C">
        <w:t>Break-even calculation</w:t>
      </w:r>
    </w:p>
    <w:p w14:paraId="13004049" w14:textId="54916598" w:rsidR="002A5D58" w:rsidRPr="00BB520C" w:rsidRDefault="001D525B" w:rsidP="00A40EFC">
      <w:pPr>
        <w:pStyle w:val="Heading2"/>
      </w:pPr>
      <w:r w:rsidRPr="00BB520C">
        <w:rPr>
          <w:rFonts w:eastAsia="Cambria" w:cs="Cambria"/>
        </w:rPr>
        <w:t>Annex 2: Excel</w:t>
      </w:r>
      <w:r w:rsidR="00702AB4" w:rsidRPr="00BB520C">
        <w:rPr>
          <w:rFonts w:eastAsia="Cambria" w:cs="Cambria"/>
        </w:rPr>
        <w:t xml:space="preserve"> </w:t>
      </w:r>
      <w:r w:rsidR="004638E1" w:rsidRPr="00BB520C">
        <w:rPr>
          <w:rFonts w:eastAsia="Cambria" w:cs="Cambria"/>
        </w:rPr>
        <w:t xml:space="preserve">table </w:t>
      </w:r>
      <w:r w:rsidR="00702AB4" w:rsidRPr="00BB520C">
        <w:rPr>
          <w:rFonts w:eastAsia="Cambria" w:cs="Cambria"/>
        </w:rPr>
        <w:t>2026 Splitting Meth consultation Response_ Final_31032026</w:t>
      </w:r>
    </w:p>
    <w:sectPr w:rsidR="002A5D58" w:rsidRPr="00BB520C" w:rsidSect="00034616">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12F02" w14:textId="77777777" w:rsidR="00F216BC" w:rsidRDefault="00F216BC" w:rsidP="00D86823">
      <w:pPr>
        <w:spacing w:after="0" w:line="240" w:lineRule="auto"/>
      </w:pPr>
      <w:r>
        <w:separator/>
      </w:r>
    </w:p>
  </w:endnote>
  <w:endnote w:type="continuationSeparator" w:id="0">
    <w:p w14:paraId="070800FB" w14:textId="77777777" w:rsidR="00F216BC" w:rsidRDefault="00F216BC" w:rsidP="00D86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249605"/>
      <w:docPartObj>
        <w:docPartGallery w:val="Page Numbers (Bottom of Page)"/>
        <w:docPartUnique/>
      </w:docPartObj>
    </w:sdtPr>
    <w:sdtEndPr/>
    <w:sdtContent>
      <w:p w14:paraId="6A9CD11C" w14:textId="3789E557" w:rsidR="00CE5480" w:rsidRDefault="00CE5480">
        <w:pPr>
          <w:pStyle w:val="Footer"/>
          <w:jc w:val="right"/>
        </w:pPr>
        <w:r>
          <w:fldChar w:fldCharType="begin"/>
        </w:r>
        <w:r>
          <w:instrText>PAGE   \* MERGEFORMAT</w:instrText>
        </w:r>
        <w:r>
          <w:fldChar w:fldCharType="separate"/>
        </w:r>
        <w:r>
          <w:rPr>
            <w:lang w:val="et-EE"/>
          </w:rPr>
          <w:t>2</w:t>
        </w:r>
        <w:r>
          <w:fldChar w:fldCharType="end"/>
        </w:r>
      </w:p>
    </w:sdtContent>
  </w:sdt>
  <w:p w14:paraId="342457A2" w14:textId="77777777" w:rsidR="00CE5480" w:rsidRDefault="00CE5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170F0" w14:textId="77777777" w:rsidR="00F216BC" w:rsidRDefault="00F216BC" w:rsidP="00D86823">
      <w:pPr>
        <w:spacing w:after="0" w:line="240" w:lineRule="auto"/>
      </w:pPr>
      <w:r>
        <w:separator/>
      </w:r>
    </w:p>
  </w:footnote>
  <w:footnote w:type="continuationSeparator" w:id="0">
    <w:p w14:paraId="0956C16D" w14:textId="77777777" w:rsidR="00F216BC" w:rsidRDefault="00F216BC" w:rsidP="00D86823">
      <w:pPr>
        <w:spacing w:after="0" w:line="240" w:lineRule="auto"/>
      </w:pPr>
      <w:r>
        <w:continuationSeparator/>
      </w:r>
    </w:p>
  </w:footnote>
  <w:footnote w:id="1">
    <w:p w14:paraId="064E175B" w14:textId="419CC499" w:rsidR="00D86823" w:rsidRPr="00D86823" w:rsidRDefault="00D86823">
      <w:pPr>
        <w:pStyle w:val="FootnoteText"/>
        <w:rPr>
          <w:lang w:val="et-EE"/>
        </w:rPr>
      </w:pPr>
      <w:r>
        <w:rPr>
          <w:rStyle w:val="FootnoteReference"/>
        </w:rPr>
        <w:footnoteRef/>
      </w:r>
      <w:r>
        <w:t xml:space="preserve"> </w:t>
      </w:r>
      <w:hyperlink r:id="rId1" w:history="1">
        <w:hyperlink r:id="rId2" w:history="1">
          <w:r w:rsidRPr="00D86823">
            <w:rPr>
              <w:rStyle w:val="Hyperlink"/>
            </w:rPr>
            <w:t>https://eepublicdownloads.blob.core.windows.net/public-cdn-container/clean-documents/Network codes documents/NC FCA/publications/ENTSO-E_Advocacy_Paper_-_FTR_curtailment.pdf</w:t>
          </w:r>
        </w:hyperlink>
      </w:hyperlink>
    </w:p>
  </w:footnote>
  <w:footnote w:id="2">
    <w:p w14:paraId="5CD2283D" w14:textId="30299B02" w:rsidR="00F17B89" w:rsidRPr="00F17B89" w:rsidRDefault="00F17B89">
      <w:pPr>
        <w:pStyle w:val="FootnoteText"/>
        <w:rPr>
          <w:lang w:val="et-EE"/>
        </w:rPr>
      </w:pPr>
      <w:r>
        <w:rPr>
          <w:rStyle w:val="FootnoteReference"/>
        </w:rPr>
        <w:footnoteRef/>
      </w:r>
      <w:r>
        <w:t xml:space="preserve"> </w:t>
      </w:r>
      <w:hyperlink r:id="rId3" w:history="1">
        <w:r w:rsidRPr="00526B26">
          <w:t>https://www.acer.europa.eu/sites/default/files/documents/Official_documents/Acts_of_the_Agency/Opinions/Opinions/ACER-Opinion-02-2025-FTR-force-majeure-(FI-EE).pdf</w:t>
        </w:r>
      </w:hyperlink>
    </w:p>
  </w:footnote>
  <w:footnote w:id="3">
    <w:p w14:paraId="54979E94" w14:textId="6C987820" w:rsidR="00376C30" w:rsidRPr="00376C30" w:rsidRDefault="00376C30">
      <w:pPr>
        <w:pStyle w:val="FootnoteText"/>
        <w:rPr>
          <w:lang w:val="et-EE"/>
        </w:rPr>
      </w:pPr>
      <w:r>
        <w:rPr>
          <w:rStyle w:val="FootnoteReference"/>
        </w:rPr>
        <w:footnoteRef/>
      </w:r>
      <w:r>
        <w:t xml:space="preserve"> </w:t>
      </w:r>
      <w:hyperlink r:id="rId4" w:history="1">
        <w:r w:rsidR="00F84A9B" w:rsidRPr="00123CE5">
          <w:rPr>
            <w:rStyle w:val="Hyperlink"/>
          </w:rPr>
          <w:t>https://www.konkurentsiamet.ee/uudised/konkurentsiamet-tegi-elering-ile-ettekirjutuse-seoses-riskimaandusinstrumentide</w:t>
        </w:r>
      </w:hyperlink>
      <w:r w:rsidR="00F84A9B">
        <w:t xml:space="preserve"> </w:t>
      </w:r>
    </w:p>
  </w:footnote>
  <w:footnote w:id="4">
    <w:p w14:paraId="677CE3D7" w14:textId="7944DA46" w:rsidR="00190468" w:rsidRPr="004B7EA6" w:rsidRDefault="00190468">
      <w:pPr>
        <w:pStyle w:val="FootnoteText"/>
        <w:rPr>
          <w:lang w:val="en-GB"/>
        </w:rPr>
      </w:pPr>
      <w:r w:rsidRPr="004B7EA6">
        <w:rPr>
          <w:rStyle w:val="FootnoteReference"/>
          <w:lang w:val="en-GB"/>
        </w:rPr>
        <w:footnoteRef/>
      </w:r>
      <w:r w:rsidRPr="004B7EA6">
        <w:rPr>
          <w:lang w:val="en-GB"/>
        </w:rPr>
        <w:t xml:space="preserve"> </w:t>
      </w:r>
      <w:r w:rsidR="005369BE">
        <w:rPr>
          <w:lang w:val="en-GB"/>
        </w:rPr>
        <w:t>AS example, b</w:t>
      </w:r>
      <w:r w:rsidR="00EF24BD" w:rsidRPr="004B7EA6">
        <w:rPr>
          <w:lang w:val="en-GB"/>
        </w:rPr>
        <w:t xml:space="preserve">ased on 25.02.2026 Esfeed Database </w:t>
      </w:r>
      <w:r w:rsidR="004B7EA6" w:rsidRPr="004B7EA6">
        <w:rPr>
          <w:lang w:val="en-GB"/>
        </w:rPr>
        <w:t>daily</w:t>
      </w:r>
      <w:r w:rsidR="00EF24BD" w:rsidRPr="004B7EA6">
        <w:rPr>
          <w:lang w:val="en-GB"/>
        </w:rPr>
        <w:t xml:space="preserve"> consumption was 27 955 MWh and 16 372 MWh was covered by fixed end contracts</w:t>
      </w:r>
    </w:p>
  </w:footnote>
  <w:footnote w:id="5">
    <w:p w14:paraId="31AC4CDB" w14:textId="1DEF7C09" w:rsidR="00D539D6" w:rsidRPr="00D539D6" w:rsidRDefault="00D539D6">
      <w:pPr>
        <w:pStyle w:val="FootnoteText"/>
        <w:rPr>
          <w:lang w:val="et-EE"/>
        </w:rPr>
      </w:pPr>
      <w:r>
        <w:rPr>
          <w:rStyle w:val="FootnoteReference"/>
        </w:rPr>
        <w:footnoteRef/>
      </w:r>
      <w:r>
        <w:t xml:space="preserve"> </w:t>
      </w:r>
      <w:hyperlink r:id="rId5" w:history="1">
        <w:r w:rsidR="00806B0D" w:rsidRPr="00806B0D">
          <w:rPr>
            <w:rStyle w:val="Hyperlink"/>
          </w:rPr>
          <w:t>Svenska kraftnät och Litgrid börjar införa finansiella riskhanteringsinstrument mellan SE4 och Litauen | Svenska kraftnät</w:t>
        </w:r>
      </w:hyperlink>
    </w:p>
  </w:footnote>
  <w:footnote w:id="6">
    <w:p w14:paraId="723FEEB6" w14:textId="01B126BF" w:rsidR="0067589E" w:rsidRPr="0067589E" w:rsidRDefault="0067589E">
      <w:pPr>
        <w:pStyle w:val="FootnoteText"/>
        <w:rPr>
          <w:lang w:val="et-EE"/>
        </w:rPr>
      </w:pPr>
      <w:r>
        <w:rPr>
          <w:rStyle w:val="FootnoteReference"/>
        </w:rPr>
        <w:footnoteRef/>
      </w:r>
      <w:r>
        <w:t xml:space="preserve"> </w:t>
      </w:r>
      <w:r w:rsidRPr="0067589E">
        <w:t>ACER_2024_</w:t>
      </w:r>
      <w:r w:rsidR="000E77CD" w:rsidRPr="000E77CD">
        <w:t xml:space="preserve"> </w:t>
      </w:r>
      <w:r w:rsidR="000E77CD">
        <w:t xml:space="preserve">Market Monitoring Report </w:t>
      </w:r>
      <w:r w:rsidRPr="0067589E">
        <w:t>_Market_Integration.pdf</w:t>
      </w:r>
    </w:p>
  </w:footnote>
  <w:footnote w:id="7">
    <w:p w14:paraId="68271D97" w14:textId="3F8BA87A" w:rsidR="00E00738" w:rsidRPr="00E00738" w:rsidRDefault="00E00738">
      <w:pPr>
        <w:pStyle w:val="FootnoteText"/>
        <w:rPr>
          <w:lang w:val="et-EE"/>
        </w:rPr>
      </w:pPr>
      <w:r>
        <w:rPr>
          <w:rStyle w:val="FootnoteReference"/>
        </w:rPr>
        <w:footnoteRef/>
      </w:r>
      <w:r>
        <w:t xml:space="preserve"> </w:t>
      </w:r>
      <w:r w:rsidRPr="00E00738">
        <w:t>Estonian NRA letter to Elerin</w:t>
      </w:r>
      <w:r>
        <w:t>g</w:t>
      </w:r>
      <w:r w:rsidRPr="00E00738">
        <w:t xml:space="preserve"> AS 11.11.2025 nr 7-17/25-0001-001</w:t>
      </w:r>
    </w:p>
  </w:footnote>
  <w:footnote w:id="8">
    <w:p w14:paraId="450B5381" w14:textId="5F75F56D" w:rsidR="00AF6768" w:rsidRPr="00AF6768" w:rsidRDefault="00AF6768">
      <w:pPr>
        <w:pStyle w:val="FootnoteText"/>
        <w:rPr>
          <w:lang w:val="et-EE"/>
        </w:rPr>
      </w:pPr>
      <w:r>
        <w:rPr>
          <w:rStyle w:val="FootnoteReference"/>
        </w:rPr>
        <w:footnoteRef/>
      </w:r>
      <w:r>
        <w:t xml:space="preserve"> </w:t>
      </w:r>
      <w:r w:rsidR="00026149" w:rsidRPr="00026149">
        <w:t xml:space="preserve">Methodology for sharing costs incurred to ensure firmness and remuneration of long-term transmission rights (FRC) in accordance with Article 61 of Commission Regulation (EU) 2016/1719 </w:t>
      </w:r>
    </w:p>
  </w:footnote>
  <w:footnote w:id="9">
    <w:p w14:paraId="66B8BE49" w14:textId="77777777" w:rsidR="00196647" w:rsidRPr="00C21907" w:rsidRDefault="00196647" w:rsidP="00196647">
      <w:pPr>
        <w:pStyle w:val="FootnoteText"/>
        <w:rPr>
          <w:lang w:val="et-E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3728DA"/>
    <w:multiLevelType w:val="multilevel"/>
    <w:tmpl w:val="F10AC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51058B"/>
    <w:multiLevelType w:val="hybridMultilevel"/>
    <w:tmpl w:val="9872CB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8796738"/>
    <w:multiLevelType w:val="hybridMultilevel"/>
    <w:tmpl w:val="4D54FFD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331027A"/>
    <w:multiLevelType w:val="hybridMultilevel"/>
    <w:tmpl w:val="5D8647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B6D647C"/>
    <w:multiLevelType w:val="hybridMultilevel"/>
    <w:tmpl w:val="C7442D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E9C71C9"/>
    <w:multiLevelType w:val="hybridMultilevel"/>
    <w:tmpl w:val="17B6E4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83236094">
    <w:abstractNumId w:val="8"/>
  </w:num>
  <w:num w:numId="2" w16cid:durableId="1809131855">
    <w:abstractNumId w:val="6"/>
  </w:num>
  <w:num w:numId="3" w16cid:durableId="1059595158">
    <w:abstractNumId w:val="5"/>
  </w:num>
  <w:num w:numId="4" w16cid:durableId="1644306585">
    <w:abstractNumId w:val="4"/>
  </w:num>
  <w:num w:numId="5" w16cid:durableId="1727878217">
    <w:abstractNumId w:val="7"/>
  </w:num>
  <w:num w:numId="6" w16cid:durableId="1707607744">
    <w:abstractNumId w:val="3"/>
  </w:num>
  <w:num w:numId="7" w16cid:durableId="557208757">
    <w:abstractNumId w:val="2"/>
  </w:num>
  <w:num w:numId="8" w16cid:durableId="895509628">
    <w:abstractNumId w:val="1"/>
  </w:num>
  <w:num w:numId="9" w16cid:durableId="942616523">
    <w:abstractNumId w:val="0"/>
  </w:num>
  <w:num w:numId="10" w16cid:durableId="1362393290">
    <w:abstractNumId w:val="9"/>
  </w:num>
  <w:num w:numId="11" w16cid:durableId="1908489956">
    <w:abstractNumId w:val="13"/>
  </w:num>
  <w:num w:numId="12" w16cid:durableId="1879583353">
    <w:abstractNumId w:val="10"/>
  </w:num>
  <w:num w:numId="13" w16cid:durableId="1563711832">
    <w:abstractNumId w:val="12"/>
  </w:num>
  <w:num w:numId="14" w16cid:durableId="1563712069">
    <w:abstractNumId w:val="14"/>
  </w:num>
  <w:num w:numId="15" w16cid:durableId="12560902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52A"/>
    <w:rsid w:val="000143B9"/>
    <w:rsid w:val="000175D1"/>
    <w:rsid w:val="00022891"/>
    <w:rsid w:val="00026149"/>
    <w:rsid w:val="00030073"/>
    <w:rsid w:val="00034616"/>
    <w:rsid w:val="000368C0"/>
    <w:rsid w:val="00042787"/>
    <w:rsid w:val="00052E3B"/>
    <w:rsid w:val="00060082"/>
    <w:rsid w:val="0006063C"/>
    <w:rsid w:val="00061B7B"/>
    <w:rsid w:val="00061C0A"/>
    <w:rsid w:val="00066457"/>
    <w:rsid w:val="0007123B"/>
    <w:rsid w:val="00071928"/>
    <w:rsid w:val="00084730"/>
    <w:rsid w:val="00087785"/>
    <w:rsid w:val="000A05EA"/>
    <w:rsid w:val="000A2809"/>
    <w:rsid w:val="000B3F7A"/>
    <w:rsid w:val="000D4642"/>
    <w:rsid w:val="000E242A"/>
    <w:rsid w:val="000E77CD"/>
    <w:rsid w:val="000F5F7A"/>
    <w:rsid w:val="001109F3"/>
    <w:rsid w:val="001257D0"/>
    <w:rsid w:val="0012717C"/>
    <w:rsid w:val="001315DB"/>
    <w:rsid w:val="001506F1"/>
    <w:rsid w:val="0015074B"/>
    <w:rsid w:val="00150D20"/>
    <w:rsid w:val="00153B45"/>
    <w:rsid w:val="00154B7A"/>
    <w:rsid w:val="0017281C"/>
    <w:rsid w:val="0018096F"/>
    <w:rsid w:val="00190468"/>
    <w:rsid w:val="00196647"/>
    <w:rsid w:val="001A2D03"/>
    <w:rsid w:val="001C0502"/>
    <w:rsid w:val="001D4879"/>
    <w:rsid w:val="001D525B"/>
    <w:rsid w:val="001E39E8"/>
    <w:rsid w:val="001F4477"/>
    <w:rsid w:val="001F5AED"/>
    <w:rsid w:val="00201D45"/>
    <w:rsid w:val="00244F66"/>
    <w:rsid w:val="002501AE"/>
    <w:rsid w:val="00252ED4"/>
    <w:rsid w:val="002575BA"/>
    <w:rsid w:val="00265A74"/>
    <w:rsid w:val="00274806"/>
    <w:rsid w:val="0029639D"/>
    <w:rsid w:val="002A316B"/>
    <w:rsid w:val="002A4FC2"/>
    <w:rsid w:val="002A5D58"/>
    <w:rsid w:val="002A6679"/>
    <w:rsid w:val="002B04D0"/>
    <w:rsid w:val="00300F33"/>
    <w:rsid w:val="003034FD"/>
    <w:rsid w:val="0030364C"/>
    <w:rsid w:val="0030670C"/>
    <w:rsid w:val="0032079A"/>
    <w:rsid w:val="00326F90"/>
    <w:rsid w:val="003302C0"/>
    <w:rsid w:val="00362A30"/>
    <w:rsid w:val="00376C30"/>
    <w:rsid w:val="0038715B"/>
    <w:rsid w:val="003C026E"/>
    <w:rsid w:val="003C0290"/>
    <w:rsid w:val="003C0E3F"/>
    <w:rsid w:val="003C332E"/>
    <w:rsid w:val="003E2324"/>
    <w:rsid w:val="003E267B"/>
    <w:rsid w:val="003E7785"/>
    <w:rsid w:val="003F0F76"/>
    <w:rsid w:val="003F306D"/>
    <w:rsid w:val="003F6681"/>
    <w:rsid w:val="0040295C"/>
    <w:rsid w:val="004033A5"/>
    <w:rsid w:val="00413E47"/>
    <w:rsid w:val="00432708"/>
    <w:rsid w:val="004400FB"/>
    <w:rsid w:val="00440B5E"/>
    <w:rsid w:val="004546F4"/>
    <w:rsid w:val="004638E1"/>
    <w:rsid w:val="00471552"/>
    <w:rsid w:val="004A43C0"/>
    <w:rsid w:val="004B09AD"/>
    <w:rsid w:val="004B7EA6"/>
    <w:rsid w:val="004C29B3"/>
    <w:rsid w:val="004C57A8"/>
    <w:rsid w:val="004D1857"/>
    <w:rsid w:val="00515D99"/>
    <w:rsid w:val="00523E8E"/>
    <w:rsid w:val="00526B26"/>
    <w:rsid w:val="005369BE"/>
    <w:rsid w:val="00537728"/>
    <w:rsid w:val="00544032"/>
    <w:rsid w:val="0054446A"/>
    <w:rsid w:val="00556470"/>
    <w:rsid w:val="0055686C"/>
    <w:rsid w:val="005660BC"/>
    <w:rsid w:val="005940FC"/>
    <w:rsid w:val="005A6EAE"/>
    <w:rsid w:val="005C0350"/>
    <w:rsid w:val="005C76E8"/>
    <w:rsid w:val="005D57CB"/>
    <w:rsid w:val="005E0D27"/>
    <w:rsid w:val="005E5605"/>
    <w:rsid w:val="005F0B12"/>
    <w:rsid w:val="005F7909"/>
    <w:rsid w:val="00602E46"/>
    <w:rsid w:val="0060609F"/>
    <w:rsid w:val="00610BB9"/>
    <w:rsid w:val="0061402F"/>
    <w:rsid w:val="0063618A"/>
    <w:rsid w:val="0065295A"/>
    <w:rsid w:val="006562FE"/>
    <w:rsid w:val="0067589E"/>
    <w:rsid w:val="006770CC"/>
    <w:rsid w:val="00686045"/>
    <w:rsid w:val="006D3025"/>
    <w:rsid w:val="006D7058"/>
    <w:rsid w:val="00702AB4"/>
    <w:rsid w:val="00703161"/>
    <w:rsid w:val="00704CB7"/>
    <w:rsid w:val="0070715A"/>
    <w:rsid w:val="007163E4"/>
    <w:rsid w:val="007239A4"/>
    <w:rsid w:val="00725C9D"/>
    <w:rsid w:val="007350D2"/>
    <w:rsid w:val="00740D88"/>
    <w:rsid w:val="007410D9"/>
    <w:rsid w:val="00762484"/>
    <w:rsid w:val="00767A30"/>
    <w:rsid w:val="00767D75"/>
    <w:rsid w:val="00767F37"/>
    <w:rsid w:val="0077023C"/>
    <w:rsid w:val="00772CC6"/>
    <w:rsid w:val="00775158"/>
    <w:rsid w:val="007978A4"/>
    <w:rsid w:val="007A5C8D"/>
    <w:rsid w:val="007A5CDF"/>
    <w:rsid w:val="007C3C8D"/>
    <w:rsid w:val="007C7076"/>
    <w:rsid w:val="007D6533"/>
    <w:rsid w:val="007E2068"/>
    <w:rsid w:val="007F2613"/>
    <w:rsid w:val="00806B0D"/>
    <w:rsid w:val="00810BDA"/>
    <w:rsid w:val="00820F19"/>
    <w:rsid w:val="00824569"/>
    <w:rsid w:val="0083058A"/>
    <w:rsid w:val="00832395"/>
    <w:rsid w:val="00837C03"/>
    <w:rsid w:val="008546A5"/>
    <w:rsid w:val="00883FA5"/>
    <w:rsid w:val="008A6176"/>
    <w:rsid w:val="008A7E99"/>
    <w:rsid w:val="008B2E2F"/>
    <w:rsid w:val="008B2EAA"/>
    <w:rsid w:val="008C1260"/>
    <w:rsid w:val="008E0562"/>
    <w:rsid w:val="008E4CDF"/>
    <w:rsid w:val="00904198"/>
    <w:rsid w:val="009055A9"/>
    <w:rsid w:val="00921D67"/>
    <w:rsid w:val="00936C8D"/>
    <w:rsid w:val="00951E07"/>
    <w:rsid w:val="00953098"/>
    <w:rsid w:val="009B6B06"/>
    <w:rsid w:val="009D7774"/>
    <w:rsid w:val="009F09DE"/>
    <w:rsid w:val="009F3771"/>
    <w:rsid w:val="009F3857"/>
    <w:rsid w:val="009F40A6"/>
    <w:rsid w:val="009F4A7B"/>
    <w:rsid w:val="009F4C21"/>
    <w:rsid w:val="009F4E94"/>
    <w:rsid w:val="00A07344"/>
    <w:rsid w:val="00A07A1E"/>
    <w:rsid w:val="00A13E9B"/>
    <w:rsid w:val="00A23B2B"/>
    <w:rsid w:val="00A23B81"/>
    <w:rsid w:val="00A27EBB"/>
    <w:rsid w:val="00A34927"/>
    <w:rsid w:val="00A40EFC"/>
    <w:rsid w:val="00A72C77"/>
    <w:rsid w:val="00A85E58"/>
    <w:rsid w:val="00A91109"/>
    <w:rsid w:val="00A9743F"/>
    <w:rsid w:val="00AA1D8D"/>
    <w:rsid w:val="00AD09D8"/>
    <w:rsid w:val="00AD3A28"/>
    <w:rsid w:val="00AE2C16"/>
    <w:rsid w:val="00AF6768"/>
    <w:rsid w:val="00B03DBE"/>
    <w:rsid w:val="00B12E80"/>
    <w:rsid w:val="00B23208"/>
    <w:rsid w:val="00B30AD2"/>
    <w:rsid w:val="00B36258"/>
    <w:rsid w:val="00B45ECD"/>
    <w:rsid w:val="00B47730"/>
    <w:rsid w:val="00B55799"/>
    <w:rsid w:val="00B70EB6"/>
    <w:rsid w:val="00B7256F"/>
    <w:rsid w:val="00B750EB"/>
    <w:rsid w:val="00B8003C"/>
    <w:rsid w:val="00B86A32"/>
    <w:rsid w:val="00B86CE1"/>
    <w:rsid w:val="00B91D8D"/>
    <w:rsid w:val="00BB520C"/>
    <w:rsid w:val="00BB6107"/>
    <w:rsid w:val="00BB65B4"/>
    <w:rsid w:val="00BC3D5E"/>
    <w:rsid w:val="00BC778A"/>
    <w:rsid w:val="00BD2D0F"/>
    <w:rsid w:val="00BE3C84"/>
    <w:rsid w:val="00BE6FB7"/>
    <w:rsid w:val="00C10B6B"/>
    <w:rsid w:val="00C128FE"/>
    <w:rsid w:val="00C40C83"/>
    <w:rsid w:val="00C434C9"/>
    <w:rsid w:val="00C44C60"/>
    <w:rsid w:val="00C56CB3"/>
    <w:rsid w:val="00C66726"/>
    <w:rsid w:val="00C72B27"/>
    <w:rsid w:val="00C93203"/>
    <w:rsid w:val="00CB0664"/>
    <w:rsid w:val="00CC6F84"/>
    <w:rsid w:val="00CD778A"/>
    <w:rsid w:val="00CE01A2"/>
    <w:rsid w:val="00CE02C9"/>
    <w:rsid w:val="00CE5480"/>
    <w:rsid w:val="00CF49BD"/>
    <w:rsid w:val="00CF7EF9"/>
    <w:rsid w:val="00D06D44"/>
    <w:rsid w:val="00D31723"/>
    <w:rsid w:val="00D3512D"/>
    <w:rsid w:val="00D43DAB"/>
    <w:rsid w:val="00D45A6F"/>
    <w:rsid w:val="00D539D6"/>
    <w:rsid w:val="00D70C78"/>
    <w:rsid w:val="00D720EE"/>
    <w:rsid w:val="00D76A5C"/>
    <w:rsid w:val="00D83506"/>
    <w:rsid w:val="00D85251"/>
    <w:rsid w:val="00D86823"/>
    <w:rsid w:val="00D92925"/>
    <w:rsid w:val="00DA02FE"/>
    <w:rsid w:val="00DB647D"/>
    <w:rsid w:val="00DC0604"/>
    <w:rsid w:val="00DF20D4"/>
    <w:rsid w:val="00E00738"/>
    <w:rsid w:val="00E0163B"/>
    <w:rsid w:val="00E11F13"/>
    <w:rsid w:val="00E15707"/>
    <w:rsid w:val="00E92CB9"/>
    <w:rsid w:val="00E96E39"/>
    <w:rsid w:val="00EA4B43"/>
    <w:rsid w:val="00EB5384"/>
    <w:rsid w:val="00EC0CAC"/>
    <w:rsid w:val="00EC4E96"/>
    <w:rsid w:val="00ED1902"/>
    <w:rsid w:val="00EF24BD"/>
    <w:rsid w:val="00EF4647"/>
    <w:rsid w:val="00EF5B82"/>
    <w:rsid w:val="00F17B89"/>
    <w:rsid w:val="00F216BC"/>
    <w:rsid w:val="00F427BA"/>
    <w:rsid w:val="00F439A6"/>
    <w:rsid w:val="00F54582"/>
    <w:rsid w:val="00F72BA2"/>
    <w:rsid w:val="00F80A68"/>
    <w:rsid w:val="00F84A9B"/>
    <w:rsid w:val="00F9328C"/>
    <w:rsid w:val="00FA765E"/>
    <w:rsid w:val="00FC693F"/>
    <w:rsid w:val="00FE155C"/>
    <w:rsid w:val="03390E96"/>
    <w:rsid w:val="05113F65"/>
    <w:rsid w:val="0A149067"/>
    <w:rsid w:val="229CF11C"/>
    <w:rsid w:val="33B39A9E"/>
    <w:rsid w:val="341340C7"/>
    <w:rsid w:val="4801E5D8"/>
    <w:rsid w:val="620CC2CC"/>
    <w:rsid w:val="763C5A5B"/>
    <w:rsid w:val="7942C0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5DFF6"/>
  <w14:defaultImageDpi w14:val="300"/>
  <w15:docId w15:val="{F70C4575-D9E9-4BAF-A203-76AA688B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B23208"/>
    <w:pPr>
      <w:keepNext/>
      <w:keepLines/>
      <w:spacing w:before="360" w:after="80" w:line="259" w:lineRule="auto"/>
      <w:outlineLvl w:val="0"/>
    </w:pPr>
    <w:rPr>
      <w:rFonts w:ascii="Aptos Display" w:eastAsia="Times New Roman" w:hAnsi="Aptos Display" w:cs="Times New Roman"/>
      <w:color w:val="0F4761"/>
      <w:kern w:val="2"/>
      <w:sz w:val="40"/>
      <w:szCs w:val="40"/>
      <w14:ligatures w14:val="standardContextual"/>
    </w:rPr>
  </w:style>
  <w:style w:type="paragraph" w:styleId="Heading2">
    <w:name w:val="heading 2"/>
    <w:basedOn w:val="Normal"/>
    <w:next w:val="Normal"/>
    <w:link w:val="Heading2Char"/>
    <w:uiPriority w:val="9"/>
    <w:unhideWhenUsed/>
    <w:qFormat/>
    <w:rsid w:val="00BB520C"/>
    <w:pPr>
      <w:keepNext/>
      <w:keepLines/>
      <w:spacing w:before="160" w:after="80" w:line="259" w:lineRule="auto"/>
      <w:outlineLvl w:val="1"/>
    </w:pPr>
    <w:rPr>
      <w:rFonts w:ascii="Aptos Display" w:eastAsia="Times New Roman" w:hAnsi="Aptos Display" w:cs="Times New Roman"/>
      <w:color w:val="0F4761"/>
      <w:kern w:val="2"/>
      <w:sz w:val="28"/>
      <w:szCs w:val="32"/>
      <w14:ligatures w14:val="standardContextual"/>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B23208"/>
    <w:rPr>
      <w:rFonts w:ascii="Aptos Display" w:eastAsia="Times New Roman" w:hAnsi="Aptos Display" w:cs="Times New Roman"/>
      <w:color w:val="0F4761"/>
      <w:kern w:val="2"/>
      <w:sz w:val="40"/>
      <w:szCs w:val="40"/>
      <w14:ligatures w14:val="standardContextual"/>
    </w:rPr>
  </w:style>
  <w:style w:type="character" w:customStyle="1" w:styleId="Heading2Char">
    <w:name w:val="Heading 2 Char"/>
    <w:basedOn w:val="DefaultParagraphFont"/>
    <w:link w:val="Heading2"/>
    <w:uiPriority w:val="9"/>
    <w:rsid w:val="00BB520C"/>
    <w:rPr>
      <w:rFonts w:ascii="Aptos Display" w:eastAsia="Times New Roman" w:hAnsi="Aptos Display" w:cs="Times New Roman"/>
      <w:color w:val="0F4761"/>
      <w:kern w:val="2"/>
      <w:sz w:val="28"/>
      <w:szCs w:val="32"/>
      <w14:ligatures w14:val="standardContextual"/>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D868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6823"/>
    <w:rPr>
      <w:sz w:val="20"/>
      <w:szCs w:val="20"/>
    </w:rPr>
  </w:style>
  <w:style w:type="character" w:styleId="FootnoteReference">
    <w:name w:val="footnote reference"/>
    <w:basedOn w:val="DefaultParagraphFont"/>
    <w:uiPriority w:val="99"/>
    <w:semiHidden/>
    <w:unhideWhenUsed/>
    <w:rsid w:val="00D86823"/>
    <w:rPr>
      <w:vertAlign w:val="superscript"/>
    </w:rPr>
  </w:style>
  <w:style w:type="character" w:styleId="Hyperlink">
    <w:name w:val="Hyperlink"/>
    <w:basedOn w:val="DefaultParagraphFont"/>
    <w:uiPriority w:val="99"/>
    <w:unhideWhenUsed/>
    <w:rsid w:val="00D86823"/>
    <w:rPr>
      <w:color w:val="0000FF"/>
      <w:u w:val="single"/>
    </w:rPr>
  </w:style>
  <w:style w:type="character" w:styleId="UnresolvedMention">
    <w:name w:val="Unresolved Mention"/>
    <w:basedOn w:val="DefaultParagraphFont"/>
    <w:uiPriority w:val="99"/>
    <w:semiHidden/>
    <w:unhideWhenUsed/>
    <w:rsid w:val="00D86823"/>
    <w:rPr>
      <w:color w:val="605E5C"/>
      <w:shd w:val="clear" w:color="auto" w:fill="E1DFDD"/>
    </w:rPr>
  </w:style>
  <w:style w:type="character" w:styleId="CommentReference">
    <w:name w:val="annotation reference"/>
    <w:basedOn w:val="DefaultParagraphFont"/>
    <w:uiPriority w:val="99"/>
    <w:semiHidden/>
    <w:unhideWhenUsed/>
    <w:rsid w:val="008546A5"/>
    <w:rPr>
      <w:sz w:val="16"/>
      <w:szCs w:val="16"/>
    </w:rPr>
  </w:style>
  <w:style w:type="paragraph" w:styleId="CommentText">
    <w:name w:val="annotation text"/>
    <w:basedOn w:val="Normal"/>
    <w:link w:val="CommentTextChar"/>
    <w:uiPriority w:val="99"/>
    <w:unhideWhenUsed/>
    <w:rsid w:val="008546A5"/>
    <w:pPr>
      <w:spacing w:line="240" w:lineRule="auto"/>
    </w:pPr>
    <w:rPr>
      <w:sz w:val="20"/>
      <w:szCs w:val="20"/>
    </w:rPr>
  </w:style>
  <w:style w:type="character" w:customStyle="1" w:styleId="CommentTextChar">
    <w:name w:val="Comment Text Char"/>
    <w:basedOn w:val="DefaultParagraphFont"/>
    <w:link w:val="CommentText"/>
    <w:uiPriority w:val="99"/>
    <w:rsid w:val="008546A5"/>
    <w:rPr>
      <w:sz w:val="20"/>
      <w:szCs w:val="20"/>
    </w:rPr>
  </w:style>
  <w:style w:type="paragraph" w:styleId="CommentSubject">
    <w:name w:val="annotation subject"/>
    <w:basedOn w:val="CommentText"/>
    <w:next w:val="CommentText"/>
    <w:link w:val="CommentSubjectChar"/>
    <w:uiPriority w:val="99"/>
    <w:semiHidden/>
    <w:unhideWhenUsed/>
    <w:rsid w:val="008546A5"/>
    <w:rPr>
      <w:b/>
      <w:bCs/>
    </w:rPr>
  </w:style>
  <w:style w:type="character" w:customStyle="1" w:styleId="CommentSubjectChar">
    <w:name w:val="Comment Subject Char"/>
    <w:basedOn w:val="CommentTextChar"/>
    <w:link w:val="CommentSubject"/>
    <w:uiPriority w:val="99"/>
    <w:semiHidden/>
    <w:rsid w:val="008546A5"/>
    <w:rPr>
      <w:b/>
      <w:bCs/>
      <w:sz w:val="20"/>
      <w:szCs w:val="20"/>
    </w:rPr>
  </w:style>
  <w:style w:type="paragraph" w:styleId="Revision">
    <w:name w:val="Revision"/>
    <w:hidden/>
    <w:uiPriority w:val="99"/>
    <w:semiHidden/>
    <w:rsid w:val="009F3771"/>
    <w:pPr>
      <w:spacing w:after="0" w:line="240" w:lineRule="auto"/>
    </w:pPr>
  </w:style>
  <w:style w:type="paragraph" w:styleId="NormalWeb">
    <w:name w:val="Normal (Web)"/>
    <w:basedOn w:val="Normal"/>
    <w:uiPriority w:val="99"/>
    <w:semiHidden/>
    <w:unhideWhenUsed/>
    <w:rsid w:val="009F40A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acer.europa.eu/sites/default/files/documents/Official_documents/Acts_of_the_Agency/Opinions/Opinions/ACER-Opinion-02-2025-FTR-force-majeure-(FI-EE).pdf" TargetMode="External"/><Relationship Id="rId2" Type="http://schemas.openxmlformats.org/officeDocument/2006/relationships/hyperlink" Target="https://eepublicdownloads.blob.core.windows.net/public-cdn-container/clean-documents/Network%20codes%20documents/NC%20FCA/publications/ENTSO-E_Advocacy_Paper_-_FTR_curtailment.pdf" TargetMode="External"/><Relationship Id="rId1" Type="http://schemas.openxmlformats.org/officeDocument/2006/relationships/hyperlink" Target="https://eepublicdownloads.blob.core.windows.net/public-cdn-container/clean-documents/Network%20codes%20documents/NC%20FCA/publications/ENTSO-E_Advocacy_Paper_-_FTR_curtailment.pdf" TargetMode="External"/><Relationship Id="rId5" Type="http://schemas.openxmlformats.org/officeDocument/2006/relationships/hyperlink" Target="https://www.svk.se/press-och-nyheter/nyheter/elmarknad-allmant/2025/svenska-kraftnat-och-litgrid-borjar-infora-finansiella-riskhanteringsinstrument-mellan-se4-och-litauen/" TargetMode="External"/><Relationship Id="rId4" Type="http://schemas.openxmlformats.org/officeDocument/2006/relationships/hyperlink" Target="https://www.konkurentsiamet.ee/uudised/konkurentsiamet-tegi-elering-ile-ettekirjutuse-seoses-riskimaandusinstrument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4F7C42AFDE88A40B5DE8F8C6561BF28" ma:contentTypeVersion="18" ma:contentTypeDescription="Create a new document." ma:contentTypeScope="" ma:versionID="e2d9d6024399eb8ac463f8954cfcd3f5">
  <xsd:schema xmlns:xsd="http://www.w3.org/2001/XMLSchema" xmlns:xs="http://www.w3.org/2001/XMLSchema" xmlns:p="http://schemas.microsoft.com/office/2006/metadata/properties" xmlns:ns2="e31ff916-cf36-4815-8f59-066548a5c626" xmlns:ns3="76a396e9-683e-4e80-a146-12c21ed12d13" targetNamespace="http://schemas.microsoft.com/office/2006/metadata/properties" ma:root="true" ma:fieldsID="d3a8298e88b5ca5b77d5749b0ccccac6" ns2:_="" ns3:_="">
    <xsd:import namespace="e31ff916-cf36-4815-8f59-066548a5c626"/>
    <xsd:import namespace="76a396e9-683e-4e80-a146-12c21ed12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ff916-cf36-4815-8f59-066548a5c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9fa8c6-3661-45c4-a12f-a9611ac3d790"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396e9-683e-4e80-a146-12c21ed12d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db60cd-b06e-4905-bb6c-c9c9a22fc250}" ma:internalName="TaxCatchAll" ma:showField="CatchAllData" ma:web="76a396e9-683e-4e80-a146-12c21ed12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a396e9-683e-4e80-a146-12c21ed12d13" xsi:nil="true"/>
    <lcf76f155ced4ddcb4097134ff3c332f xmlns="e31ff916-cf36-4815-8f59-066548a5c6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5A495EC-26BD-4C60-8B6C-E894D7C3B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ff916-cf36-4815-8f59-066548a5c626"/>
    <ds:schemaRef ds:uri="76a396e9-683e-4e80-a146-12c21ed12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4C38D-B164-4F0D-A88D-F8A58664609A}">
  <ds:schemaRefs>
    <ds:schemaRef ds:uri="http://schemas.microsoft.com/sharepoint/v3/contenttype/forms"/>
  </ds:schemaRefs>
</ds:datastoreItem>
</file>

<file path=customXml/itemProps4.xml><?xml version="1.0" encoding="utf-8"?>
<ds:datastoreItem xmlns:ds="http://schemas.openxmlformats.org/officeDocument/2006/customXml" ds:itemID="{7A23CF3C-6859-4AE4-B4BD-8BEAEE8358F5}">
  <ds:schemaRefs>
    <ds:schemaRef ds:uri="http://schemas.microsoft.com/office/2006/metadata/properties"/>
    <ds:schemaRef ds:uri="http://schemas.microsoft.com/office/infopath/2007/PartnerControls"/>
    <ds:schemaRef ds:uri="76a396e9-683e-4e80-a146-12c21ed12d13"/>
    <ds:schemaRef ds:uri="e31ff916-cf36-4815-8f59-066548a5c62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2800</Words>
  <Characters>16244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FTR_LTCS summary of consultation feedback 31032026 draft</vt:lpstr>
    </vt:vector>
  </TitlesOfParts>
  <Manager/>
  <Company/>
  <LinksUpToDate>false</LinksUpToDate>
  <CharactersWithSpaces>19006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FTR_LTCS summary of consultation feedback 31032026 draft</dc:title>
  <dc:subject/>
  <dc:creator>python-docx</dc:creator>
  <cp:keywords/>
  <dc:description>generated by python-docx</dc:description>
  <cp:lastModifiedBy>Airi Noor</cp:lastModifiedBy>
  <cp:revision>7</cp:revision>
  <dcterms:created xsi:type="dcterms:W3CDTF">2026-04-02T17:01:00Z</dcterms:created>
  <dcterms:modified xsi:type="dcterms:W3CDTF">2026-04-17T13:54:00Z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0x01010034F7C42AFDE88A40B5DE8F8C6561BF28</vt:lpwstr>
  </property>
  <property fmtid="{D5CDD505-2E9C-101B-9397-08002B2CF9AE}" pid="3" name="MediaServiceImageTags">
    <vt:lpwstr/>
  </property>
</Properties>
</file>