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446" w14:textId="1749538D" w:rsidR="00A977B0" w:rsidRDefault="001D7380" w:rsidP="00EA580A">
      <w:pPr>
        <w:pStyle w:val="Heading1"/>
        <w:rPr>
          <w:lang w:val="en-US"/>
        </w:rPr>
      </w:pPr>
      <w:r w:rsidRPr="000412CF">
        <w:rPr>
          <w:lang w:val="en-US"/>
        </w:rPr>
        <w:t>Annex 1: B</w:t>
      </w:r>
      <w:r w:rsidR="00C748DD">
        <w:rPr>
          <w:lang w:val="en-US"/>
        </w:rPr>
        <w:t>reak-even</w:t>
      </w:r>
      <w:r w:rsidRPr="000412CF">
        <w:rPr>
          <w:lang w:val="en-US"/>
        </w:rPr>
        <w:t xml:space="preserve"> calculation</w:t>
      </w:r>
    </w:p>
    <w:p w14:paraId="6D9370BD" w14:textId="494886D8" w:rsidR="00B707C8" w:rsidRDefault="00B707C8" w:rsidP="00B707C8">
      <w:pPr>
        <w:rPr>
          <w:lang w:val="en-US"/>
        </w:rPr>
      </w:pPr>
      <w:r>
        <w:rPr>
          <w:lang w:val="en-US"/>
        </w:rPr>
        <w:t>31.03.2026</w:t>
      </w:r>
    </w:p>
    <w:p w14:paraId="64405BDE" w14:textId="4840AB28" w:rsidR="00171C7E" w:rsidRPr="000412CF" w:rsidRDefault="00171C7E" w:rsidP="00171C7E">
      <w:pPr>
        <w:pStyle w:val="Heading2"/>
        <w:rPr>
          <w:lang w:val="en-US"/>
        </w:rPr>
      </w:pPr>
      <w:r w:rsidRPr="000412CF">
        <w:rPr>
          <w:lang w:val="en-US"/>
        </w:rPr>
        <w:t>General</w:t>
      </w:r>
    </w:p>
    <w:p w14:paraId="76A1DB9D" w14:textId="532D5A6C" w:rsidR="003C0A87" w:rsidRPr="003C0A87" w:rsidRDefault="003C0A87" w:rsidP="00A0451C">
      <w:pPr>
        <w:jc w:val="both"/>
        <w:rPr>
          <w:lang w:val="en-US"/>
        </w:rPr>
      </w:pPr>
      <w:r w:rsidRPr="003C0A87">
        <w:rPr>
          <w:lang w:val="en-US"/>
        </w:rPr>
        <w:t>The b</w:t>
      </w:r>
      <w:r w:rsidR="00C748DD">
        <w:rPr>
          <w:lang w:val="en-US"/>
        </w:rPr>
        <w:t>reak-even</w:t>
      </w:r>
      <w:r w:rsidRPr="003C0A87">
        <w:rPr>
          <w:lang w:val="en-US"/>
        </w:rPr>
        <w:t xml:space="preserve"> logic is based on the following simplifying assumption:</w:t>
      </w:r>
    </w:p>
    <w:p w14:paraId="5AA2922B" w14:textId="77777777" w:rsidR="002B1755" w:rsidRPr="002B1755" w:rsidRDefault="002B1755" w:rsidP="00A0451C">
      <w:pPr>
        <w:numPr>
          <w:ilvl w:val="0"/>
          <w:numId w:val="2"/>
        </w:numPr>
        <w:jc w:val="both"/>
        <w:rPr>
          <w:lang w:val="en-US"/>
        </w:rPr>
      </w:pPr>
      <w:r w:rsidRPr="002B1755">
        <w:rPr>
          <w:lang w:val="en-US"/>
        </w:rPr>
        <w:t xml:space="preserve">The </w:t>
      </w:r>
      <w:r w:rsidRPr="002B1755">
        <w:rPr>
          <w:b/>
          <w:bCs/>
          <w:lang w:val="en-US"/>
        </w:rPr>
        <w:t>average day-ahead price difference</w:t>
      </w:r>
      <w:r w:rsidRPr="002B1755">
        <w:rPr>
          <w:lang w:val="en-US"/>
        </w:rPr>
        <w:t xml:space="preserve"> between Finland (FI) and Estonia (EE) represents the compensation that market participants expect from holding an LTTR.</w:t>
      </w:r>
    </w:p>
    <w:p w14:paraId="29CE6E90" w14:textId="77777777" w:rsidR="002B1755" w:rsidRPr="002B1755" w:rsidRDefault="002B1755" w:rsidP="00A0451C">
      <w:pPr>
        <w:numPr>
          <w:ilvl w:val="0"/>
          <w:numId w:val="2"/>
        </w:numPr>
        <w:jc w:val="both"/>
        <w:rPr>
          <w:lang w:val="en-US"/>
        </w:rPr>
      </w:pPr>
      <w:r w:rsidRPr="002B1755">
        <w:rPr>
          <w:lang w:val="en-US"/>
        </w:rPr>
        <w:t xml:space="preserve">Underselling occurs when the </w:t>
      </w:r>
      <w:r w:rsidRPr="002B1755">
        <w:rPr>
          <w:b/>
          <w:bCs/>
          <w:lang w:val="en-US"/>
        </w:rPr>
        <w:t>auction income</w:t>
      </w:r>
      <w:r w:rsidRPr="002B1755">
        <w:rPr>
          <w:lang w:val="en-US"/>
        </w:rPr>
        <w:t xml:space="preserve"> (auction clearing price × allocated volume) is lower than the implied compensation based on the day-ahead price difference.</w:t>
      </w:r>
    </w:p>
    <w:p w14:paraId="6F745636" w14:textId="3752734B" w:rsidR="002B1755" w:rsidRDefault="002B1755" w:rsidP="00A0451C">
      <w:pPr>
        <w:jc w:val="both"/>
        <w:rPr>
          <w:lang w:val="en-US"/>
        </w:rPr>
      </w:pPr>
      <w:r w:rsidRPr="002B1755">
        <w:rPr>
          <w:lang w:val="en-US"/>
        </w:rPr>
        <w:t>Under this assumption, the b</w:t>
      </w:r>
      <w:r w:rsidR="00C748DD">
        <w:rPr>
          <w:lang w:val="en-US"/>
        </w:rPr>
        <w:t>reak-even</w:t>
      </w:r>
      <w:r w:rsidRPr="002B1755">
        <w:rPr>
          <w:lang w:val="en-US"/>
        </w:rPr>
        <w:t xml:space="preserve"> volume for a given auction is defined as the volume at which:</w:t>
      </w:r>
    </w:p>
    <w:p w14:paraId="23180AD5" w14:textId="77777777" w:rsidR="002B1755" w:rsidRDefault="002B1755" w:rsidP="00D6217C">
      <w:pPr>
        <w:ind w:firstLine="1304"/>
        <w:jc w:val="both"/>
        <w:rPr>
          <w:lang w:val="en-US"/>
        </w:rPr>
      </w:pPr>
      <w:r w:rsidRPr="002B1755">
        <w:rPr>
          <w:b/>
          <w:bCs/>
          <w:lang w:val="en-US"/>
        </w:rPr>
        <w:t>Auction clearing price = average FI–EE day-ahead price difference</w:t>
      </w:r>
      <w:r w:rsidRPr="002B1755">
        <w:rPr>
          <w:lang w:val="en-US"/>
        </w:rPr>
        <w:t>.</w:t>
      </w:r>
    </w:p>
    <w:p w14:paraId="6C6462A5" w14:textId="7EB48915" w:rsidR="002B1755" w:rsidRPr="002B1755" w:rsidRDefault="002B1755" w:rsidP="00A0451C">
      <w:pPr>
        <w:jc w:val="both"/>
        <w:rPr>
          <w:lang w:val="en-US"/>
        </w:rPr>
      </w:pPr>
      <w:r w:rsidRPr="002B1755">
        <w:rPr>
          <w:lang w:val="en-US"/>
        </w:rPr>
        <w:t xml:space="preserve">This volume represents the maximum capacity that could have been auctioned </w:t>
      </w:r>
      <w:r w:rsidRPr="002B1755">
        <w:rPr>
          <w:b/>
          <w:bCs/>
          <w:lang w:val="en-US"/>
        </w:rPr>
        <w:t>without underselling</w:t>
      </w:r>
      <w:r w:rsidRPr="002B1755">
        <w:rPr>
          <w:lang w:val="en-US"/>
        </w:rPr>
        <w:t>, given the observed bid curve.</w:t>
      </w:r>
    </w:p>
    <w:p w14:paraId="38BAB1F6" w14:textId="72EDD49C" w:rsidR="00171C7E" w:rsidRDefault="00171C7E" w:rsidP="00A0451C">
      <w:pPr>
        <w:jc w:val="both"/>
        <w:rPr>
          <w:lang w:val="en-US"/>
        </w:rPr>
      </w:pPr>
      <w:r w:rsidRPr="00171C7E">
        <w:rPr>
          <w:lang w:val="en-GB"/>
        </w:rPr>
        <w:t>To monitor underselling, TSOs </w:t>
      </w:r>
      <w:r w:rsidR="003C0A87">
        <w:rPr>
          <w:lang w:val="en-GB"/>
        </w:rPr>
        <w:t>have used</w:t>
      </w:r>
      <w:r w:rsidRPr="00171C7E">
        <w:rPr>
          <w:lang w:val="en-GB"/>
        </w:rPr>
        <w:t> the public data from the auctions on the Single Allocation Platform (SAP) as input for calculating</w:t>
      </w:r>
      <w:r w:rsidR="002C50A2">
        <w:rPr>
          <w:lang w:val="en-GB"/>
        </w:rPr>
        <w:t xml:space="preserve"> the break-</w:t>
      </w:r>
      <w:r w:rsidR="00EB1076">
        <w:rPr>
          <w:lang w:val="en-GB"/>
        </w:rPr>
        <w:t>even</w:t>
      </w:r>
      <w:r w:rsidR="00EB1076" w:rsidRPr="64C2D34C">
        <w:rPr>
          <w:lang w:val="en-GB"/>
        </w:rPr>
        <w:t xml:space="preserve"> </w:t>
      </w:r>
      <w:r w:rsidR="00EB1076" w:rsidRPr="00171C7E">
        <w:rPr>
          <w:lang w:val="en-GB"/>
        </w:rPr>
        <w:t>volumes</w:t>
      </w:r>
      <w:r w:rsidRPr="00171C7E">
        <w:rPr>
          <w:lang w:val="en-GB"/>
        </w:rPr>
        <w:t xml:space="preserve"> for the LTTRs. Joint Allocation Office (JAO) is appointed as the SAP, according to the methodology developed under Article 48 of the FCA. Historical auction data, including all submitted bids and related prices, is available on JAO’s website. The picture below provides a graphical example of the data available for the monthly auction at the </w:t>
      </w:r>
      <w:r w:rsidR="00F44189">
        <w:rPr>
          <w:lang w:val="en-GB"/>
        </w:rPr>
        <w:t>FI-EE</w:t>
      </w:r>
      <w:r w:rsidRPr="00171C7E">
        <w:rPr>
          <w:lang w:val="en-GB"/>
        </w:rPr>
        <w:t xml:space="preserve"> border for August 202</w:t>
      </w:r>
      <w:r w:rsidR="00577D9D">
        <w:rPr>
          <w:lang w:val="en-GB"/>
        </w:rPr>
        <w:t>5</w:t>
      </w:r>
      <w:r w:rsidRPr="00171C7E">
        <w:rPr>
          <w:lang w:val="en-GB"/>
        </w:rPr>
        <w:t>, showing that the auction cleared at a price of</w:t>
      </w:r>
      <w:r w:rsidR="00EB1076">
        <w:rPr>
          <w:lang w:val="en-GB"/>
        </w:rPr>
        <w:t xml:space="preserve"> </w:t>
      </w:r>
      <w:r w:rsidR="006E4448">
        <w:rPr>
          <w:lang w:val="en-GB"/>
        </w:rPr>
        <w:t>12,23</w:t>
      </w:r>
      <w:r w:rsidRPr="00171C7E">
        <w:rPr>
          <w:lang w:val="en-GB"/>
        </w:rPr>
        <w:t> EUR/MWh.</w:t>
      </w:r>
      <w:r w:rsidRPr="00171C7E">
        <w:rPr>
          <w:lang w:val="en-US"/>
        </w:rPr>
        <w:t> </w:t>
      </w:r>
    </w:p>
    <w:p w14:paraId="61133F96" w14:textId="31422532" w:rsidR="006E4448" w:rsidRPr="006E4448" w:rsidRDefault="006E4448" w:rsidP="00A0451C">
      <w:pPr>
        <w:jc w:val="both"/>
        <w:rPr>
          <w:lang w:val="en-US"/>
        </w:rPr>
      </w:pPr>
      <w:r w:rsidRPr="006E4448">
        <w:rPr>
          <w:noProof/>
          <w:lang w:val="en-US"/>
        </w:rPr>
        <w:drawing>
          <wp:inline distT="0" distB="0" distL="0" distR="0" wp14:anchorId="56CF12DB" wp14:editId="604E4597">
            <wp:extent cx="5721350" cy="3195994"/>
            <wp:effectExtent l="0" t="0" r="0" b="4445"/>
            <wp:docPr id="1332866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6053" cy="3209793"/>
                    </a:xfrm>
                    <a:prstGeom prst="rect">
                      <a:avLst/>
                    </a:prstGeom>
                    <a:noFill/>
                    <a:ln>
                      <a:noFill/>
                    </a:ln>
                  </pic:spPr>
                </pic:pic>
              </a:graphicData>
            </a:graphic>
          </wp:inline>
        </w:drawing>
      </w:r>
    </w:p>
    <w:p w14:paraId="625778E3" w14:textId="77777777" w:rsidR="00C353F6" w:rsidRPr="00171C7E" w:rsidRDefault="00C353F6" w:rsidP="00A0451C">
      <w:pPr>
        <w:jc w:val="both"/>
        <w:rPr>
          <w:lang w:val="en-US"/>
        </w:rPr>
      </w:pPr>
    </w:p>
    <w:p w14:paraId="6D4A0388" w14:textId="22F776FE" w:rsidR="00171C7E" w:rsidRDefault="00171C7E" w:rsidP="00A0451C">
      <w:pPr>
        <w:jc w:val="both"/>
        <w:rPr>
          <w:lang w:val="en-US"/>
        </w:rPr>
      </w:pPr>
      <w:r w:rsidRPr="00171C7E">
        <w:rPr>
          <w:lang w:val="en-GB"/>
        </w:rPr>
        <w:lastRenderedPageBreak/>
        <w:t>From the graph it can be investigated which volume would have prevented underselling in any given auction. </w:t>
      </w:r>
      <w:r w:rsidR="00B1109D" w:rsidRPr="00B1109D">
        <w:rPr>
          <w:lang w:val="en-US"/>
        </w:rPr>
        <w:t>The day</w:t>
      </w:r>
      <w:r w:rsidR="00D2089E">
        <w:rPr>
          <w:lang w:val="en-US"/>
        </w:rPr>
        <w:t xml:space="preserve"> </w:t>
      </w:r>
      <w:r w:rsidR="00B1109D" w:rsidRPr="00B1109D">
        <w:rPr>
          <w:lang w:val="en-US"/>
        </w:rPr>
        <w:t>ahead market price spread for August 202</w:t>
      </w:r>
      <w:r w:rsidR="00B1109D">
        <w:rPr>
          <w:lang w:val="en-US"/>
        </w:rPr>
        <w:t>5</w:t>
      </w:r>
      <w:r w:rsidR="00B1109D" w:rsidRPr="00B1109D">
        <w:rPr>
          <w:lang w:val="en-US"/>
        </w:rPr>
        <w:t> was </w:t>
      </w:r>
      <w:r w:rsidR="00D2089E">
        <w:rPr>
          <w:lang w:val="en-US"/>
        </w:rPr>
        <w:t>21</w:t>
      </w:r>
      <w:r w:rsidR="00B1109D" w:rsidRPr="00B1109D">
        <w:rPr>
          <w:lang w:val="en-US"/>
        </w:rPr>
        <w:t>.</w:t>
      </w:r>
      <w:r w:rsidR="00D2089E">
        <w:rPr>
          <w:lang w:val="en-US"/>
        </w:rPr>
        <w:t>97</w:t>
      </w:r>
      <w:r w:rsidR="00B1109D" w:rsidRPr="00B1109D">
        <w:rPr>
          <w:lang w:val="en-US"/>
        </w:rPr>
        <w:t> EUR/MWh, and underselling occurred during this month. The b</w:t>
      </w:r>
      <w:r w:rsidR="00C748DD">
        <w:rPr>
          <w:lang w:val="en-US"/>
        </w:rPr>
        <w:t>reak-even</w:t>
      </w:r>
      <w:r w:rsidR="00B1109D" w:rsidRPr="00B1109D">
        <w:rPr>
          <w:lang w:val="en-US"/>
        </w:rPr>
        <w:t xml:space="preserve"> volume for that month was </w:t>
      </w:r>
      <w:r w:rsidR="00B76086">
        <w:rPr>
          <w:lang w:val="en-US"/>
        </w:rPr>
        <w:t>103</w:t>
      </w:r>
      <w:r w:rsidR="00B1109D" w:rsidRPr="00B1109D">
        <w:rPr>
          <w:lang w:val="en-US"/>
        </w:rPr>
        <w:t> MW – indicating the volume that should have been auctioned to avoid underselling.</w:t>
      </w:r>
    </w:p>
    <w:p w14:paraId="479CB548" w14:textId="63D4C3CA" w:rsidR="00195EB7" w:rsidRDefault="00195EB7" w:rsidP="00A0451C">
      <w:pPr>
        <w:jc w:val="both"/>
        <w:rPr>
          <w:lang w:val="en-GB"/>
        </w:rPr>
      </w:pPr>
      <w:r>
        <w:rPr>
          <w:lang w:val="en-GB"/>
        </w:rPr>
        <w:t>In some cases, the historical auction and day-ahead price data may not be considered valid to determine the breakeven volume. For</w:t>
      </w:r>
      <w:r>
        <w:rPr>
          <w:lang w:val="en-GB"/>
        </w:rPr>
        <w:t xml:space="preserve"> </w:t>
      </w:r>
      <w:r>
        <w:rPr>
          <w:lang w:val="en-GB"/>
        </w:rPr>
        <w:t>example, in 2024</w:t>
      </w:r>
      <w:r>
        <w:rPr>
          <w:lang w:val="en-GB"/>
        </w:rPr>
        <w:t xml:space="preserve"> and 2025</w:t>
      </w:r>
      <w:r>
        <w:rPr>
          <w:lang w:val="en-GB"/>
        </w:rPr>
        <w:t xml:space="preserve">, the </w:t>
      </w:r>
      <w:proofErr w:type="spellStart"/>
      <w:r>
        <w:rPr>
          <w:lang w:val="en-GB"/>
        </w:rPr>
        <w:t>Estlink</w:t>
      </w:r>
      <w:proofErr w:type="spellEnd"/>
      <w:r>
        <w:rPr>
          <w:lang w:val="en-GB"/>
        </w:rPr>
        <w:t xml:space="preserve"> 2 connection </w:t>
      </w:r>
      <w:r>
        <w:rPr>
          <w:lang w:val="en-GB"/>
        </w:rPr>
        <w:t>incidents</w:t>
      </w:r>
      <w:r>
        <w:rPr>
          <w:lang w:val="en-GB"/>
        </w:rPr>
        <w:t xml:space="preserve"> re</w:t>
      </w:r>
      <w:r>
        <w:rPr>
          <w:lang w:val="en-GB"/>
        </w:rPr>
        <w:t>s</w:t>
      </w:r>
      <w:r>
        <w:rPr>
          <w:lang w:val="en-GB"/>
        </w:rPr>
        <w:t>ult</w:t>
      </w:r>
      <w:r>
        <w:rPr>
          <w:lang w:val="en-GB"/>
        </w:rPr>
        <w:t>ed</w:t>
      </w:r>
      <w:r>
        <w:rPr>
          <w:lang w:val="en-GB"/>
        </w:rPr>
        <w:t xml:space="preserve"> in </w:t>
      </w:r>
      <w:r w:rsidR="00404005">
        <w:rPr>
          <w:lang w:val="en-GB"/>
        </w:rPr>
        <w:t>several</w:t>
      </w:r>
      <w:r>
        <w:rPr>
          <w:lang w:val="en-GB"/>
        </w:rPr>
        <w:t xml:space="preserve"> months outage. </w:t>
      </w:r>
      <w:r w:rsidR="00342B65">
        <w:rPr>
          <w:lang w:val="en-GB"/>
        </w:rPr>
        <w:t>These outages</w:t>
      </w:r>
      <w:r>
        <w:rPr>
          <w:lang w:val="en-GB"/>
        </w:rPr>
        <w:t xml:space="preserve"> reduced the physical transmission capacity between FI-EE bidding zones to only 358 MW, instead of the normal capacity of 1 016 MW. This significant decrease led to the yearly FTR being undersold, since the market fundaments during the auctioning for the yearly product were not fulfilled for most of the year. In addition, the TSOs were able to offer only </w:t>
      </w:r>
      <w:r>
        <w:rPr>
          <w:lang w:val="en-GB"/>
        </w:rPr>
        <w:t>significantly reduced capacities</w:t>
      </w:r>
      <w:r>
        <w:rPr>
          <w:lang w:val="en-GB"/>
        </w:rPr>
        <w:t xml:space="preserve"> </w:t>
      </w:r>
      <w:r>
        <w:rPr>
          <w:lang w:val="en-GB"/>
        </w:rPr>
        <w:t xml:space="preserve">for </w:t>
      </w:r>
      <w:r>
        <w:rPr>
          <w:lang w:val="en-GB"/>
        </w:rPr>
        <w:t>monthly auctions during the outage, which means that none of the auctions held during this period can be considered valid for calculating the breakeven volume, as the auctioned capacity was significantly lower than normally.</w:t>
      </w:r>
    </w:p>
    <w:p w14:paraId="51AE3C28" w14:textId="77777777" w:rsidR="00195EB7" w:rsidRPr="00B1109D" w:rsidRDefault="00195EB7" w:rsidP="00171C7E">
      <w:pPr>
        <w:rPr>
          <w:lang w:val="en-US"/>
        </w:rPr>
      </w:pPr>
    </w:p>
    <w:p w14:paraId="046A70F4" w14:textId="53A22F51" w:rsidR="00171C7E" w:rsidRDefault="00171C7E" w:rsidP="00171C7E">
      <w:pPr>
        <w:pStyle w:val="Heading2"/>
        <w:rPr>
          <w:lang w:val="en-GB"/>
        </w:rPr>
      </w:pPr>
      <w:r>
        <w:rPr>
          <w:lang w:val="en-GB"/>
        </w:rPr>
        <w:t>Yearly auctions</w:t>
      </w:r>
    </w:p>
    <w:p w14:paraId="473256A7" w14:textId="35F4E599" w:rsidR="007F20F7" w:rsidRPr="007F20F7" w:rsidRDefault="083E8430" w:rsidP="00A0451C">
      <w:pPr>
        <w:jc w:val="both"/>
        <w:rPr>
          <w:lang w:val="en-US"/>
        </w:rPr>
      </w:pPr>
      <w:r w:rsidRPr="0ADD4873">
        <w:rPr>
          <w:lang w:val="en-US"/>
        </w:rPr>
        <w:t xml:space="preserve">The </w:t>
      </w:r>
      <w:r w:rsidRPr="4EA7C89B">
        <w:rPr>
          <w:lang w:val="en-US"/>
        </w:rPr>
        <w:t xml:space="preserve">TSOs have </w:t>
      </w:r>
      <w:r w:rsidRPr="3609CB58">
        <w:rPr>
          <w:lang w:val="en-US"/>
        </w:rPr>
        <w:t xml:space="preserve">performed </w:t>
      </w:r>
      <w:r w:rsidR="1BFFECD6" w:rsidRPr="061E99B8">
        <w:rPr>
          <w:lang w:val="en-US"/>
        </w:rPr>
        <w:t>a</w:t>
      </w:r>
      <w:r w:rsidRPr="3609CB58">
        <w:rPr>
          <w:lang w:val="en-US"/>
        </w:rPr>
        <w:t xml:space="preserve"> </w:t>
      </w:r>
      <w:r w:rsidR="3D8B444E" w:rsidRPr="3331CFC9">
        <w:rPr>
          <w:lang w:val="en-US"/>
        </w:rPr>
        <w:t>break-</w:t>
      </w:r>
      <w:r w:rsidR="3D8B444E" w:rsidRPr="65533961">
        <w:rPr>
          <w:lang w:val="en-US"/>
        </w:rPr>
        <w:t xml:space="preserve">even </w:t>
      </w:r>
      <w:r w:rsidR="3D8B444E" w:rsidRPr="213E5DB1">
        <w:rPr>
          <w:lang w:val="en-US"/>
        </w:rPr>
        <w:t>volume</w:t>
      </w:r>
      <w:r w:rsidR="08E58428" w:rsidRPr="04670469">
        <w:rPr>
          <w:lang w:val="en-US"/>
        </w:rPr>
        <w:t xml:space="preserve"> </w:t>
      </w:r>
      <w:r w:rsidR="402C67F3" w:rsidRPr="75187A10">
        <w:rPr>
          <w:lang w:val="en-US"/>
        </w:rPr>
        <w:t>analysis</w:t>
      </w:r>
      <w:r w:rsidR="08E58428" w:rsidRPr="511592F5">
        <w:rPr>
          <w:lang w:val="en-US"/>
        </w:rPr>
        <w:t xml:space="preserve"> </w:t>
      </w:r>
      <w:r w:rsidR="08E58428" w:rsidRPr="41EEE3C7">
        <w:rPr>
          <w:lang w:val="en-US"/>
        </w:rPr>
        <w:t xml:space="preserve">for </w:t>
      </w:r>
      <w:r w:rsidR="1F0CD022" w:rsidRPr="0CF618A6">
        <w:rPr>
          <w:lang w:val="en-US"/>
        </w:rPr>
        <w:t xml:space="preserve">the </w:t>
      </w:r>
      <w:r w:rsidR="1F0CD022" w:rsidRPr="3BF84D75">
        <w:rPr>
          <w:lang w:val="en-US"/>
        </w:rPr>
        <w:t xml:space="preserve">LTTRs </w:t>
      </w:r>
      <w:r w:rsidR="1F0CD022" w:rsidRPr="692E54D2">
        <w:rPr>
          <w:lang w:val="en-US"/>
        </w:rPr>
        <w:t xml:space="preserve">issued on </w:t>
      </w:r>
      <w:r w:rsidR="1F0CD022" w:rsidRPr="379AE9D4">
        <w:rPr>
          <w:lang w:val="en-US"/>
        </w:rPr>
        <w:t xml:space="preserve">the </w:t>
      </w:r>
      <w:r w:rsidR="1F0CD022" w:rsidRPr="0C626B65">
        <w:rPr>
          <w:lang w:val="en-US"/>
        </w:rPr>
        <w:t xml:space="preserve">FI-EE </w:t>
      </w:r>
      <w:r w:rsidR="1F0CD022" w:rsidRPr="7CF5C7CD">
        <w:rPr>
          <w:lang w:val="en-US"/>
        </w:rPr>
        <w:t xml:space="preserve">bidding </w:t>
      </w:r>
      <w:r w:rsidR="1F0CD022" w:rsidRPr="3D1B9A6B">
        <w:rPr>
          <w:lang w:val="en-US"/>
        </w:rPr>
        <w:t xml:space="preserve">zone </w:t>
      </w:r>
      <w:r w:rsidR="1F0CD022" w:rsidRPr="6F372613">
        <w:rPr>
          <w:lang w:val="en-US"/>
        </w:rPr>
        <w:t>border.</w:t>
      </w:r>
      <w:r w:rsidR="08E58428" w:rsidRPr="0CF618A6">
        <w:rPr>
          <w:lang w:val="en-US"/>
        </w:rPr>
        <w:t xml:space="preserve"> </w:t>
      </w:r>
      <w:r w:rsidR="007F20F7" w:rsidRPr="007F20F7">
        <w:rPr>
          <w:lang w:val="en-US"/>
        </w:rPr>
        <w:t xml:space="preserve">Table 1 </w:t>
      </w:r>
      <w:r w:rsidR="004F2C66" w:rsidRPr="007F20F7">
        <w:rPr>
          <w:lang w:val="en-US"/>
        </w:rPr>
        <w:t>summarizes</w:t>
      </w:r>
      <w:r w:rsidR="007F20F7" w:rsidRPr="007F20F7">
        <w:rPr>
          <w:lang w:val="en-US"/>
        </w:rPr>
        <w:t xml:space="preserve"> the b</w:t>
      </w:r>
      <w:r w:rsidR="00C748DD">
        <w:rPr>
          <w:lang w:val="en-US"/>
        </w:rPr>
        <w:t>reak-even</w:t>
      </w:r>
      <w:r w:rsidR="007F20F7" w:rsidRPr="007F20F7">
        <w:rPr>
          <w:lang w:val="en-US"/>
        </w:rPr>
        <w:t xml:space="preserve"> analysis for the yearly FI–EE auctions</w:t>
      </w:r>
    </w:p>
    <w:p w14:paraId="12DB1002" w14:textId="45345434" w:rsidR="00B76086" w:rsidRPr="00B76086" w:rsidRDefault="00B76086" w:rsidP="00B76086">
      <w:pPr>
        <w:pStyle w:val="Caption"/>
        <w:keepNext/>
        <w:rPr>
          <w:lang w:val="en-US"/>
        </w:rPr>
      </w:pPr>
      <w:r w:rsidRPr="00B76086">
        <w:rPr>
          <w:lang w:val="en-US"/>
        </w:rPr>
        <w:t xml:space="preserve">Table </w:t>
      </w:r>
      <w:r>
        <w:fldChar w:fldCharType="begin"/>
      </w:r>
      <w:r w:rsidRPr="00B76086">
        <w:rPr>
          <w:lang w:val="en-US"/>
        </w:rPr>
        <w:instrText xml:space="preserve"> SEQ Table \* ARABIC </w:instrText>
      </w:r>
      <w:r>
        <w:fldChar w:fldCharType="separate"/>
      </w:r>
      <w:r w:rsidR="002C50A2">
        <w:rPr>
          <w:noProof/>
          <w:lang w:val="en-US"/>
        </w:rPr>
        <w:t>1</w:t>
      </w:r>
      <w:r>
        <w:fldChar w:fldCharType="end"/>
      </w:r>
      <w:r w:rsidRPr="00B76086">
        <w:rPr>
          <w:lang w:val="en-US"/>
        </w:rPr>
        <w:t>: Yearly b</w:t>
      </w:r>
      <w:r w:rsidR="00C748DD">
        <w:rPr>
          <w:lang w:val="en-US"/>
        </w:rPr>
        <w:t>reak-even</w:t>
      </w:r>
      <w:r w:rsidRPr="00B76086">
        <w:rPr>
          <w:lang w:val="en-US"/>
        </w:rPr>
        <w:t xml:space="preserve"> calculation results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220"/>
        <w:gridCol w:w="3008"/>
        <w:gridCol w:w="2692"/>
      </w:tblGrid>
      <w:tr w:rsidR="00033927" w:rsidRPr="00F53903" w14:paraId="01B1394E" w14:textId="77777777" w:rsidTr="00A0451C">
        <w:trPr>
          <w:trHeight w:val="576"/>
        </w:trPr>
        <w:tc>
          <w:tcPr>
            <w:tcW w:w="722" w:type="dxa"/>
            <w:noWrap/>
            <w:hideMark/>
          </w:tcPr>
          <w:p w14:paraId="7AEC98F8" w14:textId="77777777" w:rsidR="00033927" w:rsidRPr="00F53903" w:rsidRDefault="00033927"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Year</w:t>
            </w:r>
          </w:p>
        </w:tc>
        <w:tc>
          <w:tcPr>
            <w:tcW w:w="2220" w:type="dxa"/>
            <w:noWrap/>
            <w:hideMark/>
          </w:tcPr>
          <w:p w14:paraId="076BE538" w14:textId="77777777" w:rsidR="00033927" w:rsidRPr="00F53903" w:rsidRDefault="00033927"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 Yearly Offered Capacity</w:t>
            </w:r>
          </w:p>
        </w:tc>
        <w:tc>
          <w:tcPr>
            <w:tcW w:w="3008" w:type="dxa"/>
            <w:noWrap/>
            <w:hideMark/>
          </w:tcPr>
          <w:p w14:paraId="514543A6" w14:textId="77777777" w:rsidR="00033927" w:rsidRPr="00F53903" w:rsidRDefault="00033927"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 Yearly Capacity with no Oversupply</w:t>
            </w:r>
          </w:p>
        </w:tc>
        <w:tc>
          <w:tcPr>
            <w:tcW w:w="2692" w:type="dxa"/>
            <w:noWrap/>
            <w:hideMark/>
          </w:tcPr>
          <w:p w14:paraId="69411AE2" w14:textId="77777777" w:rsidR="00033927" w:rsidRPr="00F53903" w:rsidRDefault="00033927"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Difference</w:t>
            </w:r>
          </w:p>
        </w:tc>
      </w:tr>
      <w:tr w:rsidR="00033927" w:rsidRPr="00F53903" w14:paraId="28C70CF6" w14:textId="77777777" w:rsidTr="00A0451C">
        <w:trPr>
          <w:trHeight w:val="288"/>
        </w:trPr>
        <w:tc>
          <w:tcPr>
            <w:tcW w:w="722" w:type="dxa"/>
            <w:noWrap/>
            <w:vAlign w:val="bottom"/>
            <w:hideMark/>
          </w:tcPr>
          <w:p w14:paraId="06F019B7" w14:textId="77777777" w:rsidR="00033927" w:rsidRPr="00F53903" w:rsidRDefault="00033927"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2220" w:type="dxa"/>
            <w:noWrap/>
            <w:vAlign w:val="bottom"/>
            <w:hideMark/>
          </w:tcPr>
          <w:p w14:paraId="4926A5DE" w14:textId="77777777" w:rsidR="00033927" w:rsidRPr="00F53903" w:rsidRDefault="00033927"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350</w:t>
            </w:r>
          </w:p>
        </w:tc>
        <w:tc>
          <w:tcPr>
            <w:tcW w:w="3008" w:type="dxa"/>
            <w:noWrap/>
            <w:vAlign w:val="bottom"/>
            <w:hideMark/>
          </w:tcPr>
          <w:p w14:paraId="6AB61661" w14:textId="77777777" w:rsidR="00033927" w:rsidRPr="00F53903" w:rsidRDefault="00033927"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58</w:t>
            </w:r>
          </w:p>
        </w:tc>
        <w:tc>
          <w:tcPr>
            <w:tcW w:w="2692" w:type="dxa"/>
            <w:noWrap/>
            <w:vAlign w:val="bottom"/>
            <w:hideMark/>
          </w:tcPr>
          <w:p w14:paraId="6685742F" w14:textId="77777777" w:rsidR="00033927" w:rsidRPr="00F53903" w:rsidRDefault="00033927"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292</w:t>
            </w:r>
          </w:p>
        </w:tc>
      </w:tr>
      <w:tr w:rsidR="00033927" w:rsidRPr="00F53903" w14:paraId="71BFDFA3" w14:textId="77777777" w:rsidTr="00A0451C">
        <w:trPr>
          <w:trHeight w:val="288"/>
        </w:trPr>
        <w:tc>
          <w:tcPr>
            <w:tcW w:w="722" w:type="dxa"/>
            <w:noWrap/>
            <w:vAlign w:val="bottom"/>
            <w:hideMark/>
          </w:tcPr>
          <w:p w14:paraId="774903B1" w14:textId="3CDF2CFE" w:rsidR="00033927" w:rsidRPr="00342B65" w:rsidRDefault="00033927"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2220" w:type="dxa"/>
            <w:noWrap/>
            <w:vAlign w:val="bottom"/>
            <w:hideMark/>
          </w:tcPr>
          <w:p w14:paraId="23FE2332" w14:textId="77777777" w:rsidR="00033927" w:rsidRPr="00342B65" w:rsidRDefault="00033927"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350</w:t>
            </w:r>
          </w:p>
        </w:tc>
        <w:tc>
          <w:tcPr>
            <w:tcW w:w="3008" w:type="dxa"/>
            <w:noWrap/>
            <w:vAlign w:val="bottom"/>
            <w:hideMark/>
          </w:tcPr>
          <w:p w14:paraId="67990988" w14:textId="77777777" w:rsidR="00033927" w:rsidRPr="00342B65" w:rsidRDefault="00033927"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85</w:t>
            </w:r>
          </w:p>
        </w:tc>
        <w:tc>
          <w:tcPr>
            <w:tcW w:w="2692" w:type="dxa"/>
            <w:noWrap/>
            <w:vAlign w:val="bottom"/>
            <w:hideMark/>
          </w:tcPr>
          <w:p w14:paraId="750F9479" w14:textId="77777777" w:rsidR="00033927" w:rsidRPr="00342B65" w:rsidRDefault="00033927"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265</w:t>
            </w:r>
          </w:p>
        </w:tc>
      </w:tr>
      <w:tr w:rsidR="00033927" w:rsidRPr="00F53903" w14:paraId="24753C0E" w14:textId="77777777" w:rsidTr="00A0451C">
        <w:trPr>
          <w:trHeight w:val="288"/>
        </w:trPr>
        <w:tc>
          <w:tcPr>
            <w:tcW w:w="722" w:type="dxa"/>
            <w:noWrap/>
            <w:vAlign w:val="bottom"/>
            <w:hideMark/>
          </w:tcPr>
          <w:p w14:paraId="68F36FD1" w14:textId="3F88DDFB" w:rsidR="00033927" w:rsidRPr="00342B65" w:rsidRDefault="00033927"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2025</w:t>
            </w:r>
            <w:r w:rsidR="00195EB7">
              <w:rPr>
                <w:rFonts w:ascii="Calibri" w:eastAsia="Times New Roman" w:hAnsi="Calibri" w:cs="Calibri"/>
                <w:color w:val="A6A6A6" w:themeColor="background1" w:themeShade="A6"/>
                <w:kern w:val="0"/>
                <w:sz w:val="20"/>
                <w:szCs w:val="20"/>
                <w:lang w:val="en-US"/>
                <w14:ligatures w14:val="none"/>
              </w:rPr>
              <w:t>*</w:t>
            </w:r>
          </w:p>
        </w:tc>
        <w:tc>
          <w:tcPr>
            <w:tcW w:w="2220" w:type="dxa"/>
            <w:noWrap/>
            <w:vAlign w:val="bottom"/>
            <w:hideMark/>
          </w:tcPr>
          <w:p w14:paraId="7B9B60A1" w14:textId="77777777" w:rsidR="00033927" w:rsidRPr="00342B65" w:rsidRDefault="00033927"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350</w:t>
            </w:r>
          </w:p>
        </w:tc>
        <w:tc>
          <w:tcPr>
            <w:tcW w:w="3008" w:type="dxa"/>
            <w:noWrap/>
            <w:vAlign w:val="bottom"/>
            <w:hideMark/>
          </w:tcPr>
          <w:p w14:paraId="12D6EDF6" w14:textId="77777777" w:rsidR="00033927" w:rsidRPr="00342B65" w:rsidRDefault="00033927"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56</w:t>
            </w:r>
          </w:p>
        </w:tc>
        <w:tc>
          <w:tcPr>
            <w:tcW w:w="2692" w:type="dxa"/>
            <w:noWrap/>
            <w:vAlign w:val="bottom"/>
            <w:hideMark/>
          </w:tcPr>
          <w:p w14:paraId="5A73B861" w14:textId="77777777" w:rsidR="00033927" w:rsidRPr="00342B65" w:rsidRDefault="00033927"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294</w:t>
            </w:r>
          </w:p>
        </w:tc>
      </w:tr>
    </w:tbl>
    <w:p w14:paraId="2135CD34" w14:textId="1303A1E5" w:rsidR="00171C7E" w:rsidRPr="00342B65" w:rsidRDefault="00195EB7" w:rsidP="00195EB7">
      <w:pPr>
        <w:rPr>
          <w:sz w:val="18"/>
          <w:szCs w:val="18"/>
          <w:lang w:val="en-US"/>
        </w:rPr>
      </w:pPr>
      <w:r w:rsidRPr="00342B65">
        <w:rPr>
          <w:sz w:val="18"/>
          <w:szCs w:val="18"/>
          <w:lang w:val="en-US"/>
        </w:rPr>
        <w:t>*</w:t>
      </w:r>
      <w:proofErr w:type="spellStart"/>
      <w:r w:rsidRPr="00342B65">
        <w:rPr>
          <w:sz w:val="18"/>
          <w:szCs w:val="18"/>
          <w:lang w:val="en-US"/>
        </w:rPr>
        <w:t>Estlink</w:t>
      </w:r>
      <w:proofErr w:type="spellEnd"/>
      <w:r w:rsidRPr="00342B65">
        <w:rPr>
          <w:sz w:val="18"/>
          <w:szCs w:val="18"/>
          <w:lang w:val="en-US"/>
        </w:rPr>
        <w:t xml:space="preserve"> 2 outage</w:t>
      </w:r>
    </w:p>
    <w:p w14:paraId="2411ECD2" w14:textId="25EC61AD" w:rsidR="00243284" w:rsidRPr="00243284" w:rsidRDefault="00243284" w:rsidP="00A0451C">
      <w:pPr>
        <w:jc w:val="both"/>
        <w:rPr>
          <w:lang w:val="en-US"/>
        </w:rPr>
      </w:pPr>
      <w:r w:rsidRPr="00243284">
        <w:rPr>
          <w:lang w:val="en-US"/>
        </w:rPr>
        <w:t>The results indicate that, under the b</w:t>
      </w:r>
      <w:r w:rsidR="00C748DD">
        <w:rPr>
          <w:lang w:val="en-US"/>
        </w:rPr>
        <w:t>reak-even</w:t>
      </w:r>
      <w:r w:rsidRPr="00243284">
        <w:rPr>
          <w:lang w:val="en-US"/>
        </w:rPr>
        <w:t xml:space="preserve"> assumption, the historical yearly auctions would have required </w:t>
      </w:r>
      <w:r w:rsidRPr="00243284">
        <w:rPr>
          <w:b/>
          <w:bCs/>
          <w:lang w:val="en-US"/>
        </w:rPr>
        <w:t>substantially lower volumes</w:t>
      </w:r>
      <w:r w:rsidRPr="00243284">
        <w:rPr>
          <w:lang w:val="en-US"/>
        </w:rPr>
        <w:t xml:space="preserve"> to avoid underselling.</w:t>
      </w:r>
    </w:p>
    <w:p w14:paraId="4910DB62" w14:textId="77777777" w:rsidR="00243284" w:rsidRPr="00171C7E" w:rsidRDefault="00243284" w:rsidP="00171C7E">
      <w:pPr>
        <w:rPr>
          <w:lang w:val="en-US"/>
        </w:rPr>
      </w:pPr>
    </w:p>
    <w:p w14:paraId="22DFBDEE" w14:textId="01A780C5" w:rsidR="00171C7E" w:rsidRDefault="00171C7E" w:rsidP="00171C7E">
      <w:pPr>
        <w:pStyle w:val="Heading2"/>
        <w:rPr>
          <w:lang w:val="en-US"/>
        </w:rPr>
      </w:pPr>
      <w:r>
        <w:rPr>
          <w:lang w:val="en-US"/>
        </w:rPr>
        <w:t>Monthly auctions</w:t>
      </w:r>
    </w:p>
    <w:p w14:paraId="6E99368B" w14:textId="61271C02" w:rsidR="00C32E4B" w:rsidRDefault="00C32E4B" w:rsidP="00A0451C">
      <w:pPr>
        <w:jc w:val="both"/>
        <w:rPr>
          <w:lang w:val="en-US"/>
        </w:rPr>
      </w:pPr>
      <w:r w:rsidRPr="00C32E4B">
        <w:rPr>
          <w:lang w:val="en-US"/>
        </w:rPr>
        <w:t>A similar analysis has been carried out for the monthly FI–EE auctions. For each month, the b</w:t>
      </w:r>
      <w:r w:rsidR="00C748DD">
        <w:rPr>
          <w:lang w:val="en-US"/>
        </w:rPr>
        <w:t>reak-even</w:t>
      </w:r>
      <w:r w:rsidRPr="00C32E4B">
        <w:rPr>
          <w:lang w:val="en-US"/>
        </w:rPr>
        <w:t xml:space="preserve"> volume is derived from the intersection of the monthly auction bid curve and the corresponding day-ahead price difference</w:t>
      </w:r>
    </w:p>
    <w:p w14:paraId="1FF6EFA2" w14:textId="00E0236D" w:rsidR="002C50A2" w:rsidRPr="002C50A2" w:rsidRDefault="002C50A2" w:rsidP="002C50A2">
      <w:pPr>
        <w:pStyle w:val="Caption"/>
        <w:keepNext/>
        <w:rPr>
          <w:lang w:val="en-US"/>
        </w:rPr>
      </w:pPr>
      <w:r w:rsidRPr="002C50A2">
        <w:rPr>
          <w:lang w:val="en-US"/>
        </w:rPr>
        <w:t xml:space="preserve">Table </w:t>
      </w:r>
      <w:r>
        <w:fldChar w:fldCharType="begin"/>
      </w:r>
      <w:r w:rsidRPr="002C50A2">
        <w:rPr>
          <w:lang w:val="en-US"/>
        </w:rPr>
        <w:instrText xml:space="preserve"> SEQ Table \* ARABIC </w:instrText>
      </w:r>
      <w:r>
        <w:fldChar w:fldCharType="separate"/>
      </w:r>
      <w:r>
        <w:rPr>
          <w:noProof/>
          <w:lang w:val="en-US"/>
        </w:rPr>
        <w:t>2</w:t>
      </w:r>
      <w:r>
        <w:fldChar w:fldCharType="end"/>
      </w:r>
      <w:r w:rsidRPr="002C50A2">
        <w:rPr>
          <w:lang w:val="en-US"/>
        </w:rPr>
        <w:t>: Monthly break-even calculation results for 2023</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49"/>
        <w:gridCol w:w="2081"/>
        <w:gridCol w:w="2410"/>
        <w:gridCol w:w="2558"/>
      </w:tblGrid>
      <w:tr w:rsidR="002C50A2" w:rsidRPr="00F53903" w14:paraId="6830E7DB" w14:textId="77777777" w:rsidTr="004F2C66">
        <w:trPr>
          <w:trHeight w:val="288"/>
        </w:trPr>
        <w:tc>
          <w:tcPr>
            <w:tcW w:w="663" w:type="dxa"/>
            <w:noWrap/>
            <w:hideMark/>
          </w:tcPr>
          <w:p w14:paraId="28C13019"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Year</w:t>
            </w:r>
          </w:p>
        </w:tc>
        <w:tc>
          <w:tcPr>
            <w:tcW w:w="949" w:type="dxa"/>
            <w:noWrap/>
            <w:hideMark/>
          </w:tcPr>
          <w:p w14:paraId="165EF657"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Month</w:t>
            </w:r>
          </w:p>
        </w:tc>
        <w:tc>
          <w:tcPr>
            <w:tcW w:w="2081" w:type="dxa"/>
            <w:noWrap/>
            <w:hideMark/>
          </w:tcPr>
          <w:p w14:paraId="541D377A"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 Monthly Offered Capacity</w:t>
            </w:r>
          </w:p>
        </w:tc>
        <w:tc>
          <w:tcPr>
            <w:tcW w:w="2410" w:type="dxa"/>
            <w:noWrap/>
            <w:hideMark/>
          </w:tcPr>
          <w:p w14:paraId="7FE63548"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 Monthly Capacity with no Oversupply</w:t>
            </w:r>
          </w:p>
        </w:tc>
        <w:tc>
          <w:tcPr>
            <w:tcW w:w="2558" w:type="dxa"/>
            <w:noWrap/>
            <w:hideMark/>
          </w:tcPr>
          <w:p w14:paraId="3D9715ED"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Difference</w:t>
            </w:r>
          </w:p>
        </w:tc>
      </w:tr>
      <w:tr w:rsidR="002C50A2" w:rsidRPr="00F53903" w14:paraId="4577BE1C" w14:textId="77777777" w:rsidTr="004F2C66">
        <w:trPr>
          <w:trHeight w:val="288"/>
        </w:trPr>
        <w:tc>
          <w:tcPr>
            <w:tcW w:w="663" w:type="dxa"/>
            <w:noWrap/>
            <w:vAlign w:val="bottom"/>
            <w:hideMark/>
          </w:tcPr>
          <w:p w14:paraId="373BB6B1"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08DC80FE"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w:t>
            </w:r>
          </w:p>
        </w:tc>
        <w:tc>
          <w:tcPr>
            <w:tcW w:w="2081" w:type="dxa"/>
            <w:noWrap/>
            <w:vAlign w:val="bottom"/>
            <w:hideMark/>
          </w:tcPr>
          <w:p w14:paraId="0E4D37D7"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c>
          <w:tcPr>
            <w:tcW w:w="2410" w:type="dxa"/>
            <w:noWrap/>
            <w:vAlign w:val="bottom"/>
            <w:hideMark/>
          </w:tcPr>
          <w:p w14:paraId="4363E2F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89</w:t>
            </w:r>
          </w:p>
        </w:tc>
        <w:tc>
          <w:tcPr>
            <w:tcW w:w="2558" w:type="dxa"/>
            <w:noWrap/>
            <w:vAlign w:val="bottom"/>
            <w:hideMark/>
          </w:tcPr>
          <w:p w14:paraId="6A07BA02"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230</w:t>
            </w:r>
          </w:p>
        </w:tc>
      </w:tr>
      <w:tr w:rsidR="002C50A2" w:rsidRPr="00F53903" w14:paraId="3DCE69D6" w14:textId="77777777" w:rsidTr="004F2C66">
        <w:trPr>
          <w:trHeight w:val="288"/>
        </w:trPr>
        <w:tc>
          <w:tcPr>
            <w:tcW w:w="663" w:type="dxa"/>
            <w:noWrap/>
            <w:vAlign w:val="bottom"/>
            <w:hideMark/>
          </w:tcPr>
          <w:p w14:paraId="1DC51AC8"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2DA11FA2"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w:t>
            </w:r>
          </w:p>
        </w:tc>
        <w:tc>
          <w:tcPr>
            <w:tcW w:w="2081" w:type="dxa"/>
            <w:noWrap/>
            <w:vAlign w:val="bottom"/>
            <w:hideMark/>
          </w:tcPr>
          <w:p w14:paraId="19474D71"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c>
          <w:tcPr>
            <w:tcW w:w="2410" w:type="dxa"/>
            <w:noWrap/>
            <w:vAlign w:val="bottom"/>
            <w:hideMark/>
          </w:tcPr>
          <w:p w14:paraId="5F729561"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w:t>
            </w:r>
          </w:p>
        </w:tc>
        <w:tc>
          <w:tcPr>
            <w:tcW w:w="2558" w:type="dxa"/>
            <w:noWrap/>
            <w:vAlign w:val="bottom"/>
            <w:hideMark/>
          </w:tcPr>
          <w:p w14:paraId="49D9A652"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318</w:t>
            </w:r>
          </w:p>
        </w:tc>
      </w:tr>
      <w:tr w:rsidR="002C50A2" w:rsidRPr="00F53903" w14:paraId="4585E0E8" w14:textId="77777777" w:rsidTr="004F2C66">
        <w:trPr>
          <w:trHeight w:val="288"/>
        </w:trPr>
        <w:tc>
          <w:tcPr>
            <w:tcW w:w="663" w:type="dxa"/>
            <w:noWrap/>
            <w:vAlign w:val="bottom"/>
            <w:hideMark/>
          </w:tcPr>
          <w:p w14:paraId="32BF0C9C"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66539CA7"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w:t>
            </w:r>
          </w:p>
        </w:tc>
        <w:tc>
          <w:tcPr>
            <w:tcW w:w="2081" w:type="dxa"/>
            <w:noWrap/>
            <w:vAlign w:val="bottom"/>
            <w:hideMark/>
          </w:tcPr>
          <w:p w14:paraId="30ADA6A9"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c>
          <w:tcPr>
            <w:tcW w:w="2410" w:type="dxa"/>
            <w:noWrap/>
            <w:vAlign w:val="bottom"/>
            <w:hideMark/>
          </w:tcPr>
          <w:p w14:paraId="10DF5BC4"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702</w:t>
            </w:r>
          </w:p>
        </w:tc>
        <w:tc>
          <w:tcPr>
            <w:tcW w:w="2558" w:type="dxa"/>
            <w:noWrap/>
            <w:vAlign w:val="bottom"/>
            <w:hideMark/>
          </w:tcPr>
          <w:p w14:paraId="63D034C9"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-383</w:t>
            </w:r>
          </w:p>
        </w:tc>
      </w:tr>
      <w:tr w:rsidR="002C50A2" w:rsidRPr="00F53903" w14:paraId="3E04E212" w14:textId="77777777" w:rsidTr="004F2C66">
        <w:trPr>
          <w:trHeight w:val="288"/>
        </w:trPr>
        <w:tc>
          <w:tcPr>
            <w:tcW w:w="663" w:type="dxa"/>
            <w:noWrap/>
            <w:vAlign w:val="bottom"/>
            <w:hideMark/>
          </w:tcPr>
          <w:p w14:paraId="3C11EE9C"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16FBB7B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4</w:t>
            </w:r>
          </w:p>
        </w:tc>
        <w:tc>
          <w:tcPr>
            <w:tcW w:w="2081" w:type="dxa"/>
            <w:noWrap/>
            <w:vAlign w:val="bottom"/>
            <w:hideMark/>
          </w:tcPr>
          <w:p w14:paraId="51C356D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c>
          <w:tcPr>
            <w:tcW w:w="2410" w:type="dxa"/>
            <w:noWrap/>
            <w:vAlign w:val="bottom"/>
            <w:hideMark/>
          </w:tcPr>
          <w:p w14:paraId="4DE7903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1191</w:t>
            </w:r>
          </w:p>
        </w:tc>
        <w:tc>
          <w:tcPr>
            <w:tcW w:w="2558" w:type="dxa"/>
            <w:noWrap/>
            <w:vAlign w:val="bottom"/>
            <w:hideMark/>
          </w:tcPr>
          <w:p w14:paraId="479519A0"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-872</w:t>
            </w:r>
          </w:p>
        </w:tc>
      </w:tr>
      <w:tr w:rsidR="002C50A2" w:rsidRPr="00F53903" w14:paraId="58746A28" w14:textId="77777777" w:rsidTr="004F2C66">
        <w:trPr>
          <w:trHeight w:val="288"/>
        </w:trPr>
        <w:tc>
          <w:tcPr>
            <w:tcW w:w="663" w:type="dxa"/>
            <w:noWrap/>
            <w:vAlign w:val="bottom"/>
            <w:hideMark/>
          </w:tcPr>
          <w:p w14:paraId="5C61A94D"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29A8C3DE"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5</w:t>
            </w:r>
          </w:p>
        </w:tc>
        <w:tc>
          <w:tcPr>
            <w:tcW w:w="2081" w:type="dxa"/>
            <w:noWrap/>
            <w:vAlign w:val="bottom"/>
            <w:hideMark/>
          </w:tcPr>
          <w:p w14:paraId="4A6EEDC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c>
          <w:tcPr>
            <w:tcW w:w="2410" w:type="dxa"/>
            <w:noWrap/>
            <w:vAlign w:val="bottom"/>
            <w:hideMark/>
          </w:tcPr>
          <w:p w14:paraId="1CA47B6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0</w:t>
            </w:r>
          </w:p>
        </w:tc>
        <w:tc>
          <w:tcPr>
            <w:tcW w:w="2558" w:type="dxa"/>
            <w:noWrap/>
            <w:vAlign w:val="bottom"/>
            <w:hideMark/>
          </w:tcPr>
          <w:p w14:paraId="6D1EFA47"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r>
      <w:tr w:rsidR="002C50A2" w:rsidRPr="00F53903" w14:paraId="422468A6" w14:textId="77777777" w:rsidTr="004F2C66">
        <w:trPr>
          <w:trHeight w:val="288"/>
        </w:trPr>
        <w:tc>
          <w:tcPr>
            <w:tcW w:w="663" w:type="dxa"/>
            <w:noWrap/>
            <w:vAlign w:val="bottom"/>
            <w:hideMark/>
          </w:tcPr>
          <w:p w14:paraId="05195DD2"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3930FA3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6</w:t>
            </w:r>
          </w:p>
        </w:tc>
        <w:tc>
          <w:tcPr>
            <w:tcW w:w="2081" w:type="dxa"/>
            <w:noWrap/>
            <w:vAlign w:val="bottom"/>
            <w:hideMark/>
          </w:tcPr>
          <w:p w14:paraId="26FCAB70"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4649A0C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w:t>
            </w:r>
          </w:p>
        </w:tc>
        <w:tc>
          <w:tcPr>
            <w:tcW w:w="2558" w:type="dxa"/>
            <w:noWrap/>
            <w:vAlign w:val="bottom"/>
            <w:hideMark/>
          </w:tcPr>
          <w:p w14:paraId="11AA023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280</w:t>
            </w:r>
          </w:p>
        </w:tc>
      </w:tr>
      <w:tr w:rsidR="002C50A2" w:rsidRPr="00F53903" w14:paraId="56588691" w14:textId="77777777" w:rsidTr="004F2C66">
        <w:trPr>
          <w:trHeight w:val="288"/>
        </w:trPr>
        <w:tc>
          <w:tcPr>
            <w:tcW w:w="663" w:type="dxa"/>
            <w:noWrap/>
            <w:vAlign w:val="bottom"/>
            <w:hideMark/>
          </w:tcPr>
          <w:p w14:paraId="09CF92A2"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7B38FAA9"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7</w:t>
            </w:r>
          </w:p>
        </w:tc>
        <w:tc>
          <w:tcPr>
            <w:tcW w:w="2081" w:type="dxa"/>
            <w:noWrap/>
            <w:vAlign w:val="bottom"/>
            <w:hideMark/>
          </w:tcPr>
          <w:p w14:paraId="53F50CDF"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7AFB9B01"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8</w:t>
            </w:r>
          </w:p>
        </w:tc>
        <w:tc>
          <w:tcPr>
            <w:tcW w:w="2558" w:type="dxa"/>
            <w:noWrap/>
            <w:vAlign w:val="bottom"/>
            <w:hideMark/>
          </w:tcPr>
          <w:p w14:paraId="217666F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292</w:t>
            </w:r>
          </w:p>
        </w:tc>
      </w:tr>
      <w:tr w:rsidR="002C50A2" w:rsidRPr="00F53903" w14:paraId="7B7ED94B" w14:textId="77777777" w:rsidTr="004F2C66">
        <w:trPr>
          <w:trHeight w:val="288"/>
        </w:trPr>
        <w:tc>
          <w:tcPr>
            <w:tcW w:w="663" w:type="dxa"/>
            <w:noWrap/>
            <w:vAlign w:val="bottom"/>
            <w:hideMark/>
          </w:tcPr>
          <w:p w14:paraId="1D2F400B"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38B8B7E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8</w:t>
            </w:r>
          </w:p>
        </w:tc>
        <w:tc>
          <w:tcPr>
            <w:tcW w:w="2081" w:type="dxa"/>
            <w:noWrap/>
            <w:vAlign w:val="bottom"/>
            <w:hideMark/>
          </w:tcPr>
          <w:p w14:paraId="21739420"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369</w:t>
            </w:r>
          </w:p>
        </w:tc>
        <w:tc>
          <w:tcPr>
            <w:tcW w:w="2410" w:type="dxa"/>
            <w:noWrap/>
            <w:vAlign w:val="bottom"/>
            <w:hideMark/>
          </w:tcPr>
          <w:p w14:paraId="6A06517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224</w:t>
            </w:r>
          </w:p>
        </w:tc>
        <w:tc>
          <w:tcPr>
            <w:tcW w:w="2558" w:type="dxa"/>
            <w:noWrap/>
            <w:vAlign w:val="bottom"/>
            <w:hideMark/>
          </w:tcPr>
          <w:p w14:paraId="0F70F54A"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145</w:t>
            </w:r>
          </w:p>
        </w:tc>
      </w:tr>
      <w:tr w:rsidR="002C50A2" w:rsidRPr="00F53903" w14:paraId="244F40F6" w14:textId="77777777" w:rsidTr="004F2C66">
        <w:trPr>
          <w:trHeight w:val="288"/>
        </w:trPr>
        <w:tc>
          <w:tcPr>
            <w:tcW w:w="663" w:type="dxa"/>
            <w:noWrap/>
            <w:vAlign w:val="bottom"/>
            <w:hideMark/>
          </w:tcPr>
          <w:p w14:paraId="4C63020A"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0D5213C6"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9</w:t>
            </w:r>
          </w:p>
        </w:tc>
        <w:tc>
          <w:tcPr>
            <w:tcW w:w="2081" w:type="dxa"/>
            <w:noWrap/>
            <w:vAlign w:val="bottom"/>
            <w:hideMark/>
          </w:tcPr>
          <w:p w14:paraId="20CD5A1D"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359</w:t>
            </w:r>
          </w:p>
        </w:tc>
        <w:tc>
          <w:tcPr>
            <w:tcW w:w="2410" w:type="dxa"/>
            <w:noWrap/>
            <w:vAlign w:val="bottom"/>
            <w:hideMark/>
          </w:tcPr>
          <w:p w14:paraId="0106D372"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0</w:t>
            </w:r>
          </w:p>
        </w:tc>
        <w:tc>
          <w:tcPr>
            <w:tcW w:w="2558" w:type="dxa"/>
            <w:noWrap/>
            <w:vAlign w:val="bottom"/>
            <w:hideMark/>
          </w:tcPr>
          <w:p w14:paraId="7DEA65C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359</w:t>
            </w:r>
          </w:p>
        </w:tc>
      </w:tr>
      <w:tr w:rsidR="002C50A2" w:rsidRPr="00F53903" w14:paraId="3D5908FD" w14:textId="77777777" w:rsidTr="004F2C66">
        <w:trPr>
          <w:trHeight w:val="288"/>
        </w:trPr>
        <w:tc>
          <w:tcPr>
            <w:tcW w:w="663" w:type="dxa"/>
            <w:noWrap/>
            <w:vAlign w:val="bottom"/>
            <w:hideMark/>
          </w:tcPr>
          <w:p w14:paraId="0F7BEF44"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2096CBA3"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10</w:t>
            </w:r>
          </w:p>
        </w:tc>
        <w:tc>
          <w:tcPr>
            <w:tcW w:w="2081" w:type="dxa"/>
            <w:noWrap/>
            <w:vAlign w:val="bottom"/>
            <w:hideMark/>
          </w:tcPr>
          <w:p w14:paraId="540EEE13"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5BD04224"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114</w:t>
            </w:r>
          </w:p>
        </w:tc>
        <w:tc>
          <w:tcPr>
            <w:tcW w:w="2558" w:type="dxa"/>
            <w:noWrap/>
            <w:vAlign w:val="bottom"/>
            <w:hideMark/>
          </w:tcPr>
          <w:p w14:paraId="5F8646DA"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186</w:t>
            </w:r>
          </w:p>
        </w:tc>
      </w:tr>
      <w:tr w:rsidR="002C50A2" w:rsidRPr="00F53903" w14:paraId="3D670162" w14:textId="77777777" w:rsidTr="004F2C66">
        <w:trPr>
          <w:trHeight w:val="288"/>
        </w:trPr>
        <w:tc>
          <w:tcPr>
            <w:tcW w:w="663" w:type="dxa"/>
            <w:noWrap/>
            <w:vAlign w:val="bottom"/>
            <w:hideMark/>
          </w:tcPr>
          <w:p w14:paraId="1BBAAC0D"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636735E7"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11</w:t>
            </w:r>
          </w:p>
        </w:tc>
        <w:tc>
          <w:tcPr>
            <w:tcW w:w="2081" w:type="dxa"/>
            <w:noWrap/>
            <w:vAlign w:val="bottom"/>
            <w:hideMark/>
          </w:tcPr>
          <w:p w14:paraId="098BCE31"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5371D729"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566</w:t>
            </w:r>
          </w:p>
        </w:tc>
        <w:tc>
          <w:tcPr>
            <w:tcW w:w="2558" w:type="dxa"/>
            <w:noWrap/>
            <w:vAlign w:val="bottom"/>
            <w:hideMark/>
          </w:tcPr>
          <w:p w14:paraId="515823E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-266</w:t>
            </w:r>
          </w:p>
        </w:tc>
      </w:tr>
      <w:tr w:rsidR="002C50A2" w:rsidRPr="00F53903" w14:paraId="106F2B5F" w14:textId="77777777" w:rsidTr="004F2C66">
        <w:trPr>
          <w:trHeight w:val="288"/>
        </w:trPr>
        <w:tc>
          <w:tcPr>
            <w:tcW w:w="663" w:type="dxa"/>
            <w:noWrap/>
            <w:vAlign w:val="bottom"/>
            <w:hideMark/>
          </w:tcPr>
          <w:p w14:paraId="33ACCE9D"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2023</w:t>
            </w:r>
          </w:p>
        </w:tc>
        <w:tc>
          <w:tcPr>
            <w:tcW w:w="949" w:type="dxa"/>
            <w:noWrap/>
            <w:vAlign w:val="bottom"/>
            <w:hideMark/>
          </w:tcPr>
          <w:p w14:paraId="077F37DA"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12</w:t>
            </w:r>
          </w:p>
        </w:tc>
        <w:tc>
          <w:tcPr>
            <w:tcW w:w="2081" w:type="dxa"/>
            <w:noWrap/>
            <w:vAlign w:val="bottom"/>
            <w:hideMark/>
          </w:tcPr>
          <w:p w14:paraId="368E5F5E"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0EED635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1347</w:t>
            </w:r>
          </w:p>
        </w:tc>
        <w:tc>
          <w:tcPr>
            <w:tcW w:w="2558" w:type="dxa"/>
            <w:noWrap/>
            <w:vAlign w:val="bottom"/>
            <w:hideMark/>
          </w:tcPr>
          <w:p w14:paraId="4408609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-1047</w:t>
            </w:r>
          </w:p>
        </w:tc>
      </w:tr>
    </w:tbl>
    <w:p w14:paraId="3561A2BE" w14:textId="54937286" w:rsidR="002C50A2" w:rsidRDefault="002C50A2" w:rsidP="00C32E4B">
      <w:pPr>
        <w:rPr>
          <w:lang w:val="en-US"/>
        </w:rPr>
      </w:pPr>
    </w:p>
    <w:p w14:paraId="334BCDEB" w14:textId="73CA54ED" w:rsidR="002C50A2" w:rsidRPr="002C50A2" w:rsidRDefault="002C50A2" w:rsidP="002C50A2">
      <w:pPr>
        <w:pStyle w:val="Caption"/>
        <w:keepNext/>
        <w:rPr>
          <w:lang w:val="en-US"/>
        </w:rPr>
      </w:pPr>
      <w:r w:rsidRPr="002C50A2">
        <w:rPr>
          <w:lang w:val="en-US"/>
        </w:rPr>
        <w:lastRenderedPageBreak/>
        <w:t xml:space="preserve">Table </w:t>
      </w:r>
      <w:r>
        <w:fldChar w:fldCharType="begin"/>
      </w:r>
      <w:r w:rsidRPr="002C50A2">
        <w:rPr>
          <w:lang w:val="en-US"/>
        </w:rPr>
        <w:instrText xml:space="preserve"> SEQ Table \* ARABIC </w:instrText>
      </w:r>
      <w:r>
        <w:fldChar w:fldCharType="separate"/>
      </w:r>
      <w:r w:rsidRPr="002C50A2">
        <w:rPr>
          <w:noProof/>
          <w:lang w:val="en-US"/>
        </w:rPr>
        <w:t>3</w:t>
      </w:r>
      <w:r>
        <w:fldChar w:fldCharType="end"/>
      </w:r>
      <w:r w:rsidRPr="002C50A2">
        <w:rPr>
          <w:lang w:val="en-US"/>
        </w:rPr>
        <w:t>: Monthly break-even calculation results for 2024</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49"/>
        <w:gridCol w:w="2081"/>
        <w:gridCol w:w="2410"/>
        <w:gridCol w:w="2558"/>
      </w:tblGrid>
      <w:tr w:rsidR="002C50A2" w:rsidRPr="00F53903" w14:paraId="7F8DDC90" w14:textId="77777777" w:rsidTr="00195EB7">
        <w:trPr>
          <w:trHeight w:val="288"/>
        </w:trPr>
        <w:tc>
          <w:tcPr>
            <w:tcW w:w="722" w:type="dxa"/>
            <w:noWrap/>
            <w:hideMark/>
          </w:tcPr>
          <w:p w14:paraId="7DAD2750"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Year</w:t>
            </w:r>
          </w:p>
        </w:tc>
        <w:tc>
          <w:tcPr>
            <w:tcW w:w="949" w:type="dxa"/>
            <w:noWrap/>
            <w:hideMark/>
          </w:tcPr>
          <w:p w14:paraId="76CA3586"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Month</w:t>
            </w:r>
          </w:p>
        </w:tc>
        <w:tc>
          <w:tcPr>
            <w:tcW w:w="2081" w:type="dxa"/>
            <w:noWrap/>
            <w:hideMark/>
          </w:tcPr>
          <w:p w14:paraId="4674537C"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 Monthly Offered Capacity</w:t>
            </w:r>
          </w:p>
        </w:tc>
        <w:tc>
          <w:tcPr>
            <w:tcW w:w="2410" w:type="dxa"/>
            <w:noWrap/>
            <w:hideMark/>
          </w:tcPr>
          <w:p w14:paraId="77B394FC"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 Monthly Capacity with no Oversupply</w:t>
            </w:r>
          </w:p>
        </w:tc>
        <w:tc>
          <w:tcPr>
            <w:tcW w:w="2558" w:type="dxa"/>
            <w:noWrap/>
            <w:hideMark/>
          </w:tcPr>
          <w:p w14:paraId="3F6778B0" w14:textId="77777777" w:rsidR="002C50A2" w:rsidRPr="00F53903" w:rsidRDefault="002C50A2" w:rsidP="004F2C66">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Difference</w:t>
            </w:r>
          </w:p>
        </w:tc>
      </w:tr>
      <w:tr w:rsidR="002C50A2" w:rsidRPr="00F53903" w14:paraId="21B76B48" w14:textId="77777777" w:rsidTr="00195EB7">
        <w:trPr>
          <w:trHeight w:val="288"/>
        </w:trPr>
        <w:tc>
          <w:tcPr>
            <w:tcW w:w="722" w:type="dxa"/>
            <w:noWrap/>
            <w:vAlign w:val="bottom"/>
            <w:hideMark/>
          </w:tcPr>
          <w:p w14:paraId="65A05CF1"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2024</w:t>
            </w:r>
          </w:p>
        </w:tc>
        <w:tc>
          <w:tcPr>
            <w:tcW w:w="949" w:type="dxa"/>
            <w:noWrap/>
            <w:vAlign w:val="bottom"/>
            <w:hideMark/>
          </w:tcPr>
          <w:p w14:paraId="541A76DF"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w:t>
            </w:r>
          </w:p>
        </w:tc>
        <w:tc>
          <w:tcPr>
            <w:tcW w:w="2081" w:type="dxa"/>
            <w:noWrap/>
            <w:vAlign w:val="bottom"/>
            <w:hideMark/>
          </w:tcPr>
          <w:p w14:paraId="164F2361"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750CF5F5"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209</w:t>
            </w:r>
          </w:p>
        </w:tc>
        <w:tc>
          <w:tcPr>
            <w:tcW w:w="2558" w:type="dxa"/>
            <w:noWrap/>
            <w:vAlign w:val="bottom"/>
            <w:hideMark/>
          </w:tcPr>
          <w:p w14:paraId="0D44C147"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91</w:t>
            </w:r>
          </w:p>
        </w:tc>
      </w:tr>
      <w:tr w:rsidR="002C50A2" w:rsidRPr="00F53903" w14:paraId="3754609A" w14:textId="77777777" w:rsidTr="00195EB7">
        <w:trPr>
          <w:trHeight w:val="288"/>
        </w:trPr>
        <w:tc>
          <w:tcPr>
            <w:tcW w:w="722" w:type="dxa"/>
            <w:noWrap/>
            <w:vAlign w:val="bottom"/>
            <w:hideMark/>
          </w:tcPr>
          <w:p w14:paraId="149B5C43"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2024</w:t>
            </w:r>
          </w:p>
        </w:tc>
        <w:tc>
          <w:tcPr>
            <w:tcW w:w="949" w:type="dxa"/>
            <w:noWrap/>
            <w:vAlign w:val="bottom"/>
            <w:hideMark/>
          </w:tcPr>
          <w:p w14:paraId="272F252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w:t>
            </w:r>
          </w:p>
        </w:tc>
        <w:tc>
          <w:tcPr>
            <w:tcW w:w="2081" w:type="dxa"/>
            <w:noWrap/>
            <w:vAlign w:val="bottom"/>
            <w:hideMark/>
          </w:tcPr>
          <w:p w14:paraId="56B1D09D"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7E9D09BF"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48</w:t>
            </w:r>
          </w:p>
        </w:tc>
        <w:tc>
          <w:tcPr>
            <w:tcW w:w="2558" w:type="dxa"/>
            <w:noWrap/>
            <w:vAlign w:val="bottom"/>
            <w:hideMark/>
          </w:tcPr>
          <w:p w14:paraId="698BE81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252</w:t>
            </w:r>
          </w:p>
        </w:tc>
      </w:tr>
      <w:tr w:rsidR="002C50A2" w:rsidRPr="00F53903" w14:paraId="667EC67C" w14:textId="77777777" w:rsidTr="00195EB7">
        <w:trPr>
          <w:trHeight w:val="288"/>
        </w:trPr>
        <w:tc>
          <w:tcPr>
            <w:tcW w:w="722" w:type="dxa"/>
            <w:noWrap/>
            <w:vAlign w:val="bottom"/>
            <w:hideMark/>
          </w:tcPr>
          <w:p w14:paraId="3B0AB309" w14:textId="2C294659" w:rsidR="002C50A2" w:rsidRPr="00342B65" w:rsidRDefault="002C50A2"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248337DD"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3</w:t>
            </w:r>
          </w:p>
        </w:tc>
        <w:tc>
          <w:tcPr>
            <w:tcW w:w="2081" w:type="dxa"/>
            <w:noWrap/>
            <w:vAlign w:val="bottom"/>
            <w:hideMark/>
          </w:tcPr>
          <w:p w14:paraId="5902D9B9"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c>
          <w:tcPr>
            <w:tcW w:w="2410" w:type="dxa"/>
            <w:noWrap/>
            <w:vAlign w:val="bottom"/>
            <w:hideMark/>
          </w:tcPr>
          <w:p w14:paraId="5D677023"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98</w:t>
            </w:r>
          </w:p>
        </w:tc>
        <w:tc>
          <w:tcPr>
            <w:tcW w:w="2558" w:type="dxa"/>
            <w:noWrap/>
            <w:vAlign w:val="bottom"/>
            <w:hideMark/>
          </w:tcPr>
          <w:p w14:paraId="6445D810"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-90</w:t>
            </w:r>
          </w:p>
        </w:tc>
      </w:tr>
      <w:tr w:rsidR="002C50A2" w:rsidRPr="00F53903" w14:paraId="2FC719EB" w14:textId="77777777" w:rsidTr="00195EB7">
        <w:trPr>
          <w:trHeight w:val="288"/>
        </w:trPr>
        <w:tc>
          <w:tcPr>
            <w:tcW w:w="722" w:type="dxa"/>
            <w:noWrap/>
            <w:vAlign w:val="bottom"/>
            <w:hideMark/>
          </w:tcPr>
          <w:p w14:paraId="289179BC" w14:textId="584E0DAB" w:rsidR="002C50A2" w:rsidRPr="00342B65" w:rsidRDefault="002C50A2"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6FF7F058"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4</w:t>
            </w:r>
          </w:p>
        </w:tc>
        <w:tc>
          <w:tcPr>
            <w:tcW w:w="2081" w:type="dxa"/>
            <w:noWrap/>
            <w:vAlign w:val="bottom"/>
            <w:hideMark/>
          </w:tcPr>
          <w:p w14:paraId="15CC5203"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c>
          <w:tcPr>
            <w:tcW w:w="2410" w:type="dxa"/>
            <w:noWrap/>
            <w:vAlign w:val="bottom"/>
            <w:hideMark/>
          </w:tcPr>
          <w:p w14:paraId="5A73023F"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60</w:t>
            </w:r>
          </w:p>
        </w:tc>
        <w:tc>
          <w:tcPr>
            <w:tcW w:w="2558" w:type="dxa"/>
            <w:noWrap/>
            <w:vAlign w:val="bottom"/>
            <w:hideMark/>
          </w:tcPr>
          <w:p w14:paraId="092A1DD5"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-52</w:t>
            </w:r>
          </w:p>
        </w:tc>
      </w:tr>
      <w:tr w:rsidR="002C50A2" w:rsidRPr="00F53903" w14:paraId="725B3FE7" w14:textId="77777777" w:rsidTr="00195EB7">
        <w:trPr>
          <w:trHeight w:val="288"/>
        </w:trPr>
        <w:tc>
          <w:tcPr>
            <w:tcW w:w="722" w:type="dxa"/>
            <w:noWrap/>
            <w:vAlign w:val="bottom"/>
            <w:hideMark/>
          </w:tcPr>
          <w:p w14:paraId="043A264A" w14:textId="2E91B07B" w:rsidR="002C50A2" w:rsidRPr="00342B65" w:rsidRDefault="002C50A2"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45DB9729"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5</w:t>
            </w:r>
          </w:p>
        </w:tc>
        <w:tc>
          <w:tcPr>
            <w:tcW w:w="2081" w:type="dxa"/>
            <w:noWrap/>
            <w:vAlign w:val="bottom"/>
            <w:hideMark/>
          </w:tcPr>
          <w:p w14:paraId="1442D52A"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13</w:t>
            </w:r>
          </w:p>
        </w:tc>
        <w:tc>
          <w:tcPr>
            <w:tcW w:w="2410" w:type="dxa"/>
            <w:noWrap/>
            <w:vAlign w:val="bottom"/>
            <w:hideMark/>
          </w:tcPr>
          <w:p w14:paraId="62F87ADB"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w:t>
            </w:r>
          </w:p>
        </w:tc>
        <w:tc>
          <w:tcPr>
            <w:tcW w:w="2558" w:type="dxa"/>
            <w:noWrap/>
            <w:vAlign w:val="bottom"/>
            <w:hideMark/>
          </w:tcPr>
          <w:p w14:paraId="718E1226"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12</w:t>
            </w:r>
          </w:p>
        </w:tc>
      </w:tr>
      <w:tr w:rsidR="002C50A2" w:rsidRPr="00F53903" w14:paraId="0BC5B523" w14:textId="77777777" w:rsidTr="00195EB7">
        <w:trPr>
          <w:trHeight w:val="288"/>
        </w:trPr>
        <w:tc>
          <w:tcPr>
            <w:tcW w:w="722" w:type="dxa"/>
            <w:noWrap/>
            <w:vAlign w:val="bottom"/>
            <w:hideMark/>
          </w:tcPr>
          <w:p w14:paraId="31AF63C0" w14:textId="31B1C061" w:rsidR="002C50A2" w:rsidRPr="00342B65" w:rsidRDefault="002C50A2"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309286B5"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6</w:t>
            </w:r>
          </w:p>
        </w:tc>
        <w:tc>
          <w:tcPr>
            <w:tcW w:w="2081" w:type="dxa"/>
            <w:noWrap/>
            <w:vAlign w:val="bottom"/>
            <w:hideMark/>
          </w:tcPr>
          <w:p w14:paraId="00468BF3"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c>
          <w:tcPr>
            <w:tcW w:w="2410" w:type="dxa"/>
            <w:noWrap/>
            <w:vAlign w:val="bottom"/>
            <w:hideMark/>
          </w:tcPr>
          <w:p w14:paraId="2D73939D"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0</w:t>
            </w:r>
          </w:p>
        </w:tc>
        <w:tc>
          <w:tcPr>
            <w:tcW w:w="2558" w:type="dxa"/>
            <w:noWrap/>
            <w:vAlign w:val="bottom"/>
            <w:hideMark/>
          </w:tcPr>
          <w:p w14:paraId="45F2B990"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r>
      <w:tr w:rsidR="002C50A2" w:rsidRPr="00F53903" w14:paraId="2166CC20" w14:textId="77777777" w:rsidTr="00195EB7">
        <w:trPr>
          <w:trHeight w:val="288"/>
        </w:trPr>
        <w:tc>
          <w:tcPr>
            <w:tcW w:w="722" w:type="dxa"/>
            <w:noWrap/>
            <w:vAlign w:val="bottom"/>
            <w:hideMark/>
          </w:tcPr>
          <w:p w14:paraId="3AC2C1CD" w14:textId="5EDF9945" w:rsidR="002C50A2" w:rsidRPr="00342B65" w:rsidRDefault="002C50A2"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5C91B741"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7</w:t>
            </w:r>
          </w:p>
        </w:tc>
        <w:tc>
          <w:tcPr>
            <w:tcW w:w="2081" w:type="dxa"/>
            <w:noWrap/>
            <w:vAlign w:val="bottom"/>
            <w:hideMark/>
          </w:tcPr>
          <w:p w14:paraId="5D301406"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c>
          <w:tcPr>
            <w:tcW w:w="2410" w:type="dxa"/>
            <w:noWrap/>
            <w:vAlign w:val="bottom"/>
            <w:hideMark/>
          </w:tcPr>
          <w:p w14:paraId="187D1B19"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0</w:t>
            </w:r>
          </w:p>
        </w:tc>
        <w:tc>
          <w:tcPr>
            <w:tcW w:w="2558" w:type="dxa"/>
            <w:noWrap/>
            <w:vAlign w:val="bottom"/>
            <w:hideMark/>
          </w:tcPr>
          <w:p w14:paraId="12855DA9"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r>
      <w:tr w:rsidR="002C50A2" w:rsidRPr="00F53903" w14:paraId="23E20D3F" w14:textId="77777777" w:rsidTr="00195EB7">
        <w:trPr>
          <w:trHeight w:val="288"/>
        </w:trPr>
        <w:tc>
          <w:tcPr>
            <w:tcW w:w="722" w:type="dxa"/>
            <w:noWrap/>
            <w:vAlign w:val="bottom"/>
            <w:hideMark/>
          </w:tcPr>
          <w:p w14:paraId="7FB1B625" w14:textId="31B93C13" w:rsidR="002C50A2" w:rsidRPr="00342B65" w:rsidRDefault="002C50A2" w:rsidP="004F2C66">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2024</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5FA5B76E"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c>
          <w:tcPr>
            <w:tcW w:w="2081" w:type="dxa"/>
            <w:noWrap/>
            <w:vAlign w:val="bottom"/>
            <w:hideMark/>
          </w:tcPr>
          <w:p w14:paraId="737AD8E4"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c>
          <w:tcPr>
            <w:tcW w:w="2410" w:type="dxa"/>
            <w:noWrap/>
            <w:vAlign w:val="bottom"/>
            <w:hideMark/>
          </w:tcPr>
          <w:p w14:paraId="4ADF8C2D"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0</w:t>
            </w:r>
          </w:p>
        </w:tc>
        <w:tc>
          <w:tcPr>
            <w:tcW w:w="2558" w:type="dxa"/>
            <w:noWrap/>
            <w:vAlign w:val="bottom"/>
            <w:hideMark/>
          </w:tcPr>
          <w:p w14:paraId="7D11832B" w14:textId="77777777" w:rsidR="002C50A2" w:rsidRPr="00342B65" w:rsidRDefault="002C50A2"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w:t>
            </w:r>
          </w:p>
        </w:tc>
      </w:tr>
      <w:tr w:rsidR="002C50A2" w:rsidRPr="00F53903" w14:paraId="7DFCEFFD" w14:textId="77777777" w:rsidTr="00195EB7">
        <w:trPr>
          <w:trHeight w:val="288"/>
        </w:trPr>
        <w:tc>
          <w:tcPr>
            <w:tcW w:w="722" w:type="dxa"/>
            <w:noWrap/>
            <w:vAlign w:val="bottom"/>
            <w:hideMark/>
          </w:tcPr>
          <w:p w14:paraId="3222F0D8"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2024</w:t>
            </w:r>
          </w:p>
        </w:tc>
        <w:tc>
          <w:tcPr>
            <w:tcW w:w="949" w:type="dxa"/>
            <w:noWrap/>
            <w:vAlign w:val="bottom"/>
            <w:hideMark/>
          </w:tcPr>
          <w:p w14:paraId="017E68D6"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9</w:t>
            </w:r>
          </w:p>
        </w:tc>
        <w:tc>
          <w:tcPr>
            <w:tcW w:w="2081" w:type="dxa"/>
            <w:noWrap/>
            <w:vAlign w:val="bottom"/>
            <w:hideMark/>
          </w:tcPr>
          <w:p w14:paraId="69888F77"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302</w:t>
            </w:r>
          </w:p>
        </w:tc>
        <w:tc>
          <w:tcPr>
            <w:tcW w:w="2410" w:type="dxa"/>
            <w:noWrap/>
            <w:vAlign w:val="bottom"/>
            <w:hideMark/>
          </w:tcPr>
          <w:p w14:paraId="36F4AB23"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375</w:t>
            </w:r>
          </w:p>
        </w:tc>
        <w:tc>
          <w:tcPr>
            <w:tcW w:w="2558" w:type="dxa"/>
            <w:noWrap/>
            <w:vAlign w:val="bottom"/>
            <w:hideMark/>
          </w:tcPr>
          <w:p w14:paraId="63563A06"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-73</w:t>
            </w:r>
          </w:p>
        </w:tc>
      </w:tr>
      <w:tr w:rsidR="002C50A2" w:rsidRPr="00F53903" w14:paraId="5F72A3AB" w14:textId="77777777" w:rsidTr="00195EB7">
        <w:trPr>
          <w:trHeight w:val="288"/>
        </w:trPr>
        <w:tc>
          <w:tcPr>
            <w:tcW w:w="722" w:type="dxa"/>
            <w:noWrap/>
            <w:vAlign w:val="bottom"/>
            <w:hideMark/>
          </w:tcPr>
          <w:p w14:paraId="6B8FA7C1"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2024</w:t>
            </w:r>
          </w:p>
        </w:tc>
        <w:tc>
          <w:tcPr>
            <w:tcW w:w="949" w:type="dxa"/>
            <w:noWrap/>
            <w:vAlign w:val="bottom"/>
            <w:hideMark/>
          </w:tcPr>
          <w:p w14:paraId="0123983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10</w:t>
            </w:r>
          </w:p>
        </w:tc>
        <w:tc>
          <w:tcPr>
            <w:tcW w:w="2081" w:type="dxa"/>
            <w:noWrap/>
            <w:vAlign w:val="bottom"/>
            <w:hideMark/>
          </w:tcPr>
          <w:p w14:paraId="4D934E9F"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273BFF0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12</w:t>
            </w:r>
          </w:p>
        </w:tc>
        <w:tc>
          <w:tcPr>
            <w:tcW w:w="2558" w:type="dxa"/>
            <w:noWrap/>
            <w:vAlign w:val="bottom"/>
            <w:hideMark/>
          </w:tcPr>
          <w:p w14:paraId="43B3AFF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288</w:t>
            </w:r>
          </w:p>
        </w:tc>
      </w:tr>
      <w:tr w:rsidR="002C50A2" w:rsidRPr="00F53903" w14:paraId="32988FD8" w14:textId="77777777" w:rsidTr="00195EB7">
        <w:trPr>
          <w:trHeight w:val="288"/>
        </w:trPr>
        <w:tc>
          <w:tcPr>
            <w:tcW w:w="722" w:type="dxa"/>
            <w:noWrap/>
            <w:vAlign w:val="bottom"/>
            <w:hideMark/>
          </w:tcPr>
          <w:p w14:paraId="4BFDCA83"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2024</w:t>
            </w:r>
          </w:p>
        </w:tc>
        <w:tc>
          <w:tcPr>
            <w:tcW w:w="949" w:type="dxa"/>
            <w:noWrap/>
            <w:vAlign w:val="bottom"/>
            <w:hideMark/>
          </w:tcPr>
          <w:p w14:paraId="624ED2F0"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11</w:t>
            </w:r>
          </w:p>
        </w:tc>
        <w:tc>
          <w:tcPr>
            <w:tcW w:w="2081" w:type="dxa"/>
            <w:noWrap/>
            <w:vAlign w:val="bottom"/>
            <w:hideMark/>
          </w:tcPr>
          <w:p w14:paraId="04FF28BE"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4BCAB58C"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141</w:t>
            </w:r>
          </w:p>
        </w:tc>
        <w:tc>
          <w:tcPr>
            <w:tcW w:w="2558" w:type="dxa"/>
            <w:noWrap/>
            <w:vAlign w:val="bottom"/>
            <w:hideMark/>
          </w:tcPr>
          <w:p w14:paraId="3AA3A25D"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159</w:t>
            </w:r>
          </w:p>
        </w:tc>
      </w:tr>
      <w:tr w:rsidR="002C50A2" w:rsidRPr="00F53903" w14:paraId="3666DA18" w14:textId="77777777" w:rsidTr="00195EB7">
        <w:trPr>
          <w:trHeight w:val="288"/>
        </w:trPr>
        <w:tc>
          <w:tcPr>
            <w:tcW w:w="722" w:type="dxa"/>
            <w:noWrap/>
            <w:vAlign w:val="bottom"/>
            <w:hideMark/>
          </w:tcPr>
          <w:p w14:paraId="21D324F1" w14:textId="77777777" w:rsidR="002C50A2" w:rsidRPr="00F53903" w:rsidRDefault="002C50A2" w:rsidP="004F2C66">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2024</w:t>
            </w:r>
          </w:p>
        </w:tc>
        <w:tc>
          <w:tcPr>
            <w:tcW w:w="949" w:type="dxa"/>
            <w:noWrap/>
            <w:vAlign w:val="bottom"/>
            <w:hideMark/>
          </w:tcPr>
          <w:p w14:paraId="3C3CF25D"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12</w:t>
            </w:r>
          </w:p>
        </w:tc>
        <w:tc>
          <w:tcPr>
            <w:tcW w:w="2081" w:type="dxa"/>
            <w:noWrap/>
            <w:vAlign w:val="bottom"/>
            <w:hideMark/>
          </w:tcPr>
          <w:p w14:paraId="092AB833"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300</w:t>
            </w:r>
          </w:p>
        </w:tc>
        <w:tc>
          <w:tcPr>
            <w:tcW w:w="2410" w:type="dxa"/>
            <w:noWrap/>
            <w:vAlign w:val="bottom"/>
            <w:hideMark/>
          </w:tcPr>
          <w:p w14:paraId="46E92AE8"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7</w:t>
            </w:r>
          </w:p>
        </w:tc>
        <w:tc>
          <w:tcPr>
            <w:tcW w:w="2558" w:type="dxa"/>
            <w:noWrap/>
            <w:vAlign w:val="bottom"/>
            <w:hideMark/>
          </w:tcPr>
          <w:p w14:paraId="7A1FF0D3" w14:textId="77777777" w:rsidR="002C50A2" w:rsidRPr="00F53903" w:rsidRDefault="002C50A2"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293</w:t>
            </w:r>
          </w:p>
        </w:tc>
      </w:tr>
    </w:tbl>
    <w:p w14:paraId="3F0C23CC" w14:textId="77777777" w:rsidR="00195EB7" w:rsidRDefault="00195EB7" w:rsidP="00195EB7">
      <w:pPr>
        <w:rPr>
          <w:sz w:val="18"/>
          <w:szCs w:val="18"/>
          <w:lang w:val="en-US"/>
        </w:rPr>
      </w:pPr>
      <w:r w:rsidRPr="00D32EDE">
        <w:rPr>
          <w:sz w:val="18"/>
          <w:szCs w:val="18"/>
          <w:lang w:val="en-US"/>
        </w:rPr>
        <w:t>*</w:t>
      </w:r>
      <w:proofErr w:type="spellStart"/>
      <w:r w:rsidRPr="00D32EDE">
        <w:rPr>
          <w:sz w:val="18"/>
          <w:szCs w:val="18"/>
          <w:lang w:val="en-US"/>
        </w:rPr>
        <w:t>Estlink</w:t>
      </w:r>
      <w:proofErr w:type="spellEnd"/>
      <w:r w:rsidRPr="00D32EDE">
        <w:rPr>
          <w:sz w:val="18"/>
          <w:szCs w:val="18"/>
          <w:lang w:val="en-US"/>
        </w:rPr>
        <w:t xml:space="preserve"> 2 outage</w:t>
      </w:r>
    </w:p>
    <w:p w14:paraId="210F8959" w14:textId="77777777" w:rsidR="00BB5CD0" w:rsidRPr="00D32EDE" w:rsidRDefault="00BB5CD0" w:rsidP="00195EB7">
      <w:pPr>
        <w:rPr>
          <w:sz w:val="18"/>
          <w:szCs w:val="18"/>
          <w:lang w:val="en-US"/>
        </w:rPr>
      </w:pPr>
    </w:p>
    <w:p w14:paraId="0157C2A5" w14:textId="3CC7AD1E" w:rsidR="00B76086" w:rsidRDefault="00B76086" w:rsidP="00B76086">
      <w:pPr>
        <w:pStyle w:val="Caption"/>
        <w:keepNext/>
        <w:rPr>
          <w:lang w:val="en-US"/>
        </w:rPr>
      </w:pPr>
      <w:r w:rsidRPr="00243284">
        <w:rPr>
          <w:lang w:val="en-US"/>
        </w:rPr>
        <w:t xml:space="preserve">Table </w:t>
      </w:r>
      <w:r>
        <w:fldChar w:fldCharType="begin"/>
      </w:r>
      <w:r w:rsidRPr="00243284">
        <w:rPr>
          <w:lang w:val="en-US"/>
        </w:rPr>
        <w:instrText xml:space="preserve"> SEQ Table \* ARABIC </w:instrText>
      </w:r>
      <w:r>
        <w:fldChar w:fldCharType="separate"/>
      </w:r>
      <w:r w:rsidR="002C50A2">
        <w:rPr>
          <w:noProof/>
          <w:lang w:val="en-US"/>
        </w:rPr>
        <w:t>4</w:t>
      </w:r>
      <w:r>
        <w:fldChar w:fldCharType="end"/>
      </w:r>
      <w:r w:rsidRPr="00243284">
        <w:rPr>
          <w:lang w:val="en-US"/>
        </w:rPr>
        <w:t>: Monthly b</w:t>
      </w:r>
      <w:r w:rsidR="00C748DD">
        <w:rPr>
          <w:lang w:val="en-US"/>
        </w:rPr>
        <w:t>reak-even</w:t>
      </w:r>
      <w:r w:rsidRPr="00243284">
        <w:rPr>
          <w:lang w:val="en-US"/>
        </w:rPr>
        <w:t xml:space="preserve"> calculation results</w:t>
      </w:r>
      <w:r w:rsidR="002C50A2">
        <w:rPr>
          <w:lang w:val="en-US"/>
        </w:rPr>
        <w:t xml:space="preserve"> for 2025</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949"/>
        <w:gridCol w:w="2081"/>
        <w:gridCol w:w="2410"/>
        <w:gridCol w:w="2558"/>
      </w:tblGrid>
      <w:tr w:rsidR="00332535" w:rsidRPr="00F53903" w14:paraId="337FCE9A" w14:textId="77777777" w:rsidTr="00CF7ABB">
        <w:trPr>
          <w:trHeight w:val="288"/>
        </w:trPr>
        <w:tc>
          <w:tcPr>
            <w:tcW w:w="663" w:type="dxa"/>
            <w:noWrap/>
            <w:hideMark/>
          </w:tcPr>
          <w:p w14:paraId="4F0A8D2C" w14:textId="6D38F7EC" w:rsidR="00332535" w:rsidRPr="00F53903" w:rsidRDefault="00ED1C3B" w:rsidP="00332535">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Year</w:t>
            </w:r>
          </w:p>
        </w:tc>
        <w:tc>
          <w:tcPr>
            <w:tcW w:w="949" w:type="dxa"/>
            <w:noWrap/>
            <w:hideMark/>
          </w:tcPr>
          <w:p w14:paraId="62D6AC2C" w14:textId="2205462D" w:rsidR="00332535" w:rsidRPr="00F53903" w:rsidRDefault="00ED1C3B" w:rsidP="00332535">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Month</w:t>
            </w:r>
          </w:p>
        </w:tc>
        <w:tc>
          <w:tcPr>
            <w:tcW w:w="2081" w:type="dxa"/>
            <w:noWrap/>
            <w:hideMark/>
          </w:tcPr>
          <w:p w14:paraId="6097EFFF" w14:textId="58A0AC2F" w:rsidR="00332535" w:rsidRPr="00F53903" w:rsidRDefault="00332535" w:rsidP="00332535">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w:t>
            </w:r>
            <w:r w:rsidR="00C806C2" w:rsidRPr="00F53903">
              <w:rPr>
                <w:rFonts w:ascii="Calibri" w:eastAsia="Times New Roman" w:hAnsi="Calibri" w:cs="Calibri"/>
                <w:b/>
                <w:bCs/>
                <w:kern w:val="0"/>
                <w:sz w:val="20"/>
                <w:szCs w:val="20"/>
                <w:lang w:val="en-US"/>
                <w14:ligatures w14:val="none"/>
              </w:rPr>
              <w:t xml:space="preserve"> M</w:t>
            </w:r>
            <w:r w:rsidRPr="00F53903">
              <w:rPr>
                <w:rFonts w:ascii="Calibri" w:eastAsia="Times New Roman" w:hAnsi="Calibri" w:cs="Calibri"/>
                <w:b/>
                <w:bCs/>
                <w:kern w:val="0"/>
                <w:sz w:val="20"/>
                <w:szCs w:val="20"/>
                <w:lang w:val="en-US"/>
                <w14:ligatures w14:val="none"/>
              </w:rPr>
              <w:t>onthly</w:t>
            </w:r>
            <w:r w:rsidR="00C806C2" w:rsidRPr="00F53903">
              <w:rPr>
                <w:rFonts w:ascii="Calibri" w:eastAsia="Times New Roman" w:hAnsi="Calibri" w:cs="Calibri"/>
                <w:b/>
                <w:bCs/>
                <w:kern w:val="0"/>
                <w:sz w:val="20"/>
                <w:szCs w:val="20"/>
                <w:lang w:val="en-US"/>
                <w14:ligatures w14:val="none"/>
              </w:rPr>
              <w:t xml:space="preserve"> O</w:t>
            </w:r>
            <w:r w:rsidRPr="00F53903">
              <w:rPr>
                <w:rFonts w:ascii="Calibri" w:eastAsia="Times New Roman" w:hAnsi="Calibri" w:cs="Calibri"/>
                <w:b/>
                <w:bCs/>
                <w:kern w:val="0"/>
                <w:sz w:val="20"/>
                <w:szCs w:val="20"/>
                <w:lang w:val="en-US"/>
                <w14:ligatures w14:val="none"/>
              </w:rPr>
              <w:t>ffered</w:t>
            </w:r>
            <w:r w:rsidR="00C806C2" w:rsidRPr="00F53903">
              <w:rPr>
                <w:rFonts w:ascii="Calibri" w:eastAsia="Times New Roman" w:hAnsi="Calibri" w:cs="Calibri"/>
                <w:b/>
                <w:bCs/>
                <w:kern w:val="0"/>
                <w:sz w:val="20"/>
                <w:szCs w:val="20"/>
                <w:lang w:val="en-US"/>
                <w14:ligatures w14:val="none"/>
              </w:rPr>
              <w:t xml:space="preserve"> </w:t>
            </w:r>
            <w:r w:rsidRPr="00F53903">
              <w:rPr>
                <w:rFonts w:ascii="Calibri" w:eastAsia="Times New Roman" w:hAnsi="Calibri" w:cs="Calibri"/>
                <w:b/>
                <w:bCs/>
                <w:kern w:val="0"/>
                <w:sz w:val="20"/>
                <w:szCs w:val="20"/>
                <w:lang w:val="en-US"/>
                <w14:ligatures w14:val="none"/>
              </w:rPr>
              <w:t>Capacity</w:t>
            </w:r>
          </w:p>
        </w:tc>
        <w:tc>
          <w:tcPr>
            <w:tcW w:w="2410" w:type="dxa"/>
            <w:noWrap/>
            <w:hideMark/>
          </w:tcPr>
          <w:p w14:paraId="3FDEE593" w14:textId="36F1B5CE" w:rsidR="00332535" w:rsidRPr="00F53903" w:rsidRDefault="00332535" w:rsidP="00332535">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FI-EE</w:t>
            </w:r>
            <w:r w:rsidR="00C806C2" w:rsidRPr="00F53903">
              <w:rPr>
                <w:rFonts w:ascii="Calibri" w:eastAsia="Times New Roman" w:hAnsi="Calibri" w:cs="Calibri"/>
                <w:b/>
                <w:bCs/>
                <w:kern w:val="0"/>
                <w:sz w:val="20"/>
                <w:szCs w:val="20"/>
                <w:lang w:val="en-US"/>
                <w14:ligatures w14:val="none"/>
              </w:rPr>
              <w:t xml:space="preserve"> Monthly Capacity </w:t>
            </w:r>
            <w:r w:rsidR="00F55F40" w:rsidRPr="00F53903">
              <w:rPr>
                <w:rFonts w:ascii="Calibri" w:eastAsia="Times New Roman" w:hAnsi="Calibri" w:cs="Calibri"/>
                <w:b/>
                <w:bCs/>
                <w:kern w:val="0"/>
                <w:sz w:val="20"/>
                <w:szCs w:val="20"/>
                <w:lang w:val="en-US"/>
                <w14:ligatures w14:val="none"/>
              </w:rPr>
              <w:t>with no Oversupply</w:t>
            </w:r>
          </w:p>
        </w:tc>
        <w:tc>
          <w:tcPr>
            <w:tcW w:w="2558" w:type="dxa"/>
            <w:noWrap/>
            <w:hideMark/>
          </w:tcPr>
          <w:p w14:paraId="651A0D5E" w14:textId="77777777" w:rsidR="00332535" w:rsidRPr="00F53903" w:rsidRDefault="00332535" w:rsidP="00332535">
            <w:pPr>
              <w:spacing w:after="0" w:line="240" w:lineRule="auto"/>
              <w:jc w:val="center"/>
              <w:rPr>
                <w:rFonts w:ascii="Calibri" w:eastAsia="Times New Roman" w:hAnsi="Calibri" w:cs="Calibri"/>
                <w:b/>
                <w:bCs/>
                <w:kern w:val="0"/>
                <w:sz w:val="20"/>
                <w:szCs w:val="20"/>
                <w:lang w:val="en-US"/>
                <w14:ligatures w14:val="none"/>
              </w:rPr>
            </w:pPr>
            <w:r w:rsidRPr="00F53903">
              <w:rPr>
                <w:rFonts w:ascii="Calibri" w:eastAsia="Times New Roman" w:hAnsi="Calibri" w:cs="Calibri"/>
                <w:b/>
                <w:bCs/>
                <w:kern w:val="0"/>
                <w:sz w:val="20"/>
                <w:szCs w:val="20"/>
                <w:lang w:val="en-US"/>
                <w14:ligatures w14:val="none"/>
              </w:rPr>
              <w:t>Difference</w:t>
            </w:r>
          </w:p>
        </w:tc>
      </w:tr>
      <w:tr w:rsidR="00332535" w:rsidRPr="00F53903" w14:paraId="25529B4D" w14:textId="77777777" w:rsidTr="00CF7ABB">
        <w:trPr>
          <w:trHeight w:val="288"/>
        </w:trPr>
        <w:tc>
          <w:tcPr>
            <w:tcW w:w="663" w:type="dxa"/>
            <w:noWrap/>
            <w:vAlign w:val="bottom"/>
            <w:hideMark/>
          </w:tcPr>
          <w:p w14:paraId="027953E2"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0393C64B"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w:t>
            </w:r>
          </w:p>
        </w:tc>
        <w:tc>
          <w:tcPr>
            <w:tcW w:w="2081" w:type="dxa"/>
            <w:noWrap/>
            <w:vAlign w:val="bottom"/>
            <w:hideMark/>
          </w:tcPr>
          <w:p w14:paraId="572ADFC6"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322</w:t>
            </w:r>
          </w:p>
        </w:tc>
        <w:tc>
          <w:tcPr>
            <w:tcW w:w="2410" w:type="dxa"/>
            <w:noWrap/>
            <w:vAlign w:val="bottom"/>
            <w:hideMark/>
          </w:tcPr>
          <w:p w14:paraId="22D78610"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12</w:t>
            </w:r>
          </w:p>
        </w:tc>
        <w:tc>
          <w:tcPr>
            <w:tcW w:w="2558" w:type="dxa"/>
            <w:noWrap/>
            <w:vAlign w:val="bottom"/>
            <w:hideMark/>
          </w:tcPr>
          <w:p w14:paraId="413EE7E2"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310</w:t>
            </w:r>
          </w:p>
        </w:tc>
      </w:tr>
      <w:tr w:rsidR="00332535" w:rsidRPr="00F53903" w14:paraId="0FCBEC1F" w14:textId="77777777" w:rsidTr="00CF7ABB">
        <w:trPr>
          <w:trHeight w:val="288"/>
        </w:trPr>
        <w:tc>
          <w:tcPr>
            <w:tcW w:w="663" w:type="dxa"/>
            <w:noWrap/>
            <w:vAlign w:val="bottom"/>
            <w:hideMark/>
          </w:tcPr>
          <w:p w14:paraId="6D1C9669" w14:textId="3A9CD5AE" w:rsidR="00332535" w:rsidRPr="00342B65" w:rsidRDefault="00332535" w:rsidP="00332535">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2025</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7CC3383F"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w:t>
            </w:r>
          </w:p>
        </w:tc>
        <w:tc>
          <w:tcPr>
            <w:tcW w:w="2081" w:type="dxa"/>
            <w:noWrap/>
            <w:vAlign w:val="bottom"/>
            <w:hideMark/>
          </w:tcPr>
          <w:p w14:paraId="6851BDB3"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29</w:t>
            </w:r>
          </w:p>
        </w:tc>
        <w:tc>
          <w:tcPr>
            <w:tcW w:w="2410" w:type="dxa"/>
            <w:noWrap/>
            <w:vAlign w:val="bottom"/>
            <w:hideMark/>
          </w:tcPr>
          <w:p w14:paraId="22E75CC3"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0</w:t>
            </w:r>
          </w:p>
        </w:tc>
        <w:tc>
          <w:tcPr>
            <w:tcW w:w="2558" w:type="dxa"/>
            <w:noWrap/>
            <w:vAlign w:val="bottom"/>
            <w:hideMark/>
          </w:tcPr>
          <w:p w14:paraId="20DE6B6D"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29</w:t>
            </w:r>
          </w:p>
        </w:tc>
      </w:tr>
      <w:tr w:rsidR="00332535" w:rsidRPr="00F53903" w14:paraId="0F8BAA72" w14:textId="77777777" w:rsidTr="00CF7ABB">
        <w:trPr>
          <w:trHeight w:val="288"/>
        </w:trPr>
        <w:tc>
          <w:tcPr>
            <w:tcW w:w="663" w:type="dxa"/>
            <w:noWrap/>
            <w:vAlign w:val="bottom"/>
            <w:hideMark/>
          </w:tcPr>
          <w:p w14:paraId="1D2E2B98" w14:textId="134E1A20" w:rsidR="00332535" w:rsidRPr="00342B65" w:rsidRDefault="00332535" w:rsidP="00332535">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2025</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0F4B20E4"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3</w:t>
            </w:r>
          </w:p>
        </w:tc>
        <w:tc>
          <w:tcPr>
            <w:tcW w:w="2081" w:type="dxa"/>
            <w:noWrap/>
            <w:vAlign w:val="bottom"/>
            <w:hideMark/>
          </w:tcPr>
          <w:p w14:paraId="503986EC"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11</w:t>
            </w:r>
          </w:p>
        </w:tc>
        <w:tc>
          <w:tcPr>
            <w:tcW w:w="2410" w:type="dxa"/>
            <w:noWrap/>
            <w:vAlign w:val="bottom"/>
            <w:hideMark/>
          </w:tcPr>
          <w:p w14:paraId="49F9D923"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23</w:t>
            </w:r>
          </w:p>
        </w:tc>
        <w:tc>
          <w:tcPr>
            <w:tcW w:w="2558" w:type="dxa"/>
            <w:noWrap/>
            <w:vAlign w:val="bottom"/>
            <w:hideMark/>
          </w:tcPr>
          <w:p w14:paraId="110BDF8C"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-12</w:t>
            </w:r>
          </w:p>
        </w:tc>
      </w:tr>
      <w:tr w:rsidR="00332535" w:rsidRPr="00F53903" w14:paraId="22127BA4" w14:textId="77777777" w:rsidTr="00CF7ABB">
        <w:trPr>
          <w:trHeight w:val="288"/>
        </w:trPr>
        <w:tc>
          <w:tcPr>
            <w:tcW w:w="663" w:type="dxa"/>
            <w:noWrap/>
            <w:vAlign w:val="bottom"/>
            <w:hideMark/>
          </w:tcPr>
          <w:p w14:paraId="7C168DCF" w14:textId="064E054E" w:rsidR="00332535" w:rsidRPr="00342B65" w:rsidRDefault="00332535" w:rsidP="00332535">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2025</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084B3976"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4</w:t>
            </w:r>
          </w:p>
        </w:tc>
        <w:tc>
          <w:tcPr>
            <w:tcW w:w="2081" w:type="dxa"/>
            <w:noWrap/>
            <w:vAlign w:val="bottom"/>
            <w:hideMark/>
          </w:tcPr>
          <w:p w14:paraId="48E80FB3"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31</w:t>
            </w:r>
          </w:p>
        </w:tc>
        <w:tc>
          <w:tcPr>
            <w:tcW w:w="2410" w:type="dxa"/>
            <w:noWrap/>
            <w:vAlign w:val="bottom"/>
            <w:hideMark/>
          </w:tcPr>
          <w:p w14:paraId="09AF29D6"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112</w:t>
            </w:r>
          </w:p>
        </w:tc>
        <w:tc>
          <w:tcPr>
            <w:tcW w:w="2558" w:type="dxa"/>
            <w:noWrap/>
            <w:vAlign w:val="bottom"/>
            <w:hideMark/>
          </w:tcPr>
          <w:p w14:paraId="1FE4A81F"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-81</w:t>
            </w:r>
          </w:p>
        </w:tc>
      </w:tr>
      <w:tr w:rsidR="00332535" w:rsidRPr="00F53903" w14:paraId="66828227" w14:textId="77777777" w:rsidTr="00CF7ABB">
        <w:trPr>
          <w:trHeight w:val="288"/>
        </w:trPr>
        <w:tc>
          <w:tcPr>
            <w:tcW w:w="663" w:type="dxa"/>
            <w:noWrap/>
            <w:vAlign w:val="bottom"/>
            <w:hideMark/>
          </w:tcPr>
          <w:p w14:paraId="3A1DF5E8" w14:textId="3142DF4F" w:rsidR="00332535" w:rsidRPr="00342B65" w:rsidRDefault="00332535" w:rsidP="00332535">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2025</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2A6F8905"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5</w:t>
            </w:r>
          </w:p>
        </w:tc>
        <w:tc>
          <w:tcPr>
            <w:tcW w:w="2081" w:type="dxa"/>
            <w:noWrap/>
            <w:vAlign w:val="bottom"/>
            <w:hideMark/>
          </w:tcPr>
          <w:p w14:paraId="13E84016"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49</w:t>
            </w:r>
          </w:p>
        </w:tc>
        <w:tc>
          <w:tcPr>
            <w:tcW w:w="2410" w:type="dxa"/>
            <w:noWrap/>
            <w:vAlign w:val="bottom"/>
            <w:hideMark/>
          </w:tcPr>
          <w:p w14:paraId="4FEF5978"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68</w:t>
            </w:r>
          </w:p>
        </w:tc>
        <w:tc>
          <w:tcPr>
            <w:tcW w:w="2558" w:type="dxa"/>
            <w:noWrap/>
            <w:vAlign w:val="bottom"/>
            <w:hideMark/>
          </w:tcPr>
          <w:p w14:paraId="2C482364"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-19</w:t>
            </w:r>
          </w:p>
        </w:tc>
      </w:tr>
      <w:tr w:rsidR="00332535" w:rsidRPr="00F53903" w14:paraId="2FB26ABE" w14:textId="77777777" w:rsidTr="00CF7ABB">
        <w:trPr>
          <w:trHeight w:val="288"/>
        </w:trPr>
        <w:tc>
          <w:tcPr>
            <w:tcW w:w="663" w:type="dxa"/>
            <w:noWrap/>
            <w:vAlign w:val="bottom"/>
            <w:hideMark/>
          </w:tcPr>
          <w:p w14:paraId="37C7EF4E" w14:textId="10C84635" w:rsidR="00332535" w:rsidRPr="00342B65" w:rsidRDefault="00332535" w:rsidP="00332535">
            <w:pPr>
              <w:spacing w:after="0" w:line="240" w:lineRule="auto"/>
              <w:jc w:val="right"/>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2025</w:t>
            </w:r>
            <w:r w:rsidR="00195EB7">
              <w:rPr>
                <w:rFonts w:ascii="Calibri" w:eastAsia="Times New Roman" w:hAnsi="Calibri" w:cs="Calibri"/>
                <w:color w:val="A6A6A6" w:themeColor="background1" w:themeShade="A6"/>
                <w:kern w:val="0"/>
                <w:sz w:val="20"/>
                <w:szCs w:val="20"/>
                <w:lang w:val="en-US"/>
                <w14:ligatures w14:val="none"/>
              </w:rPr>
              <w:t>*</w:t>
            </w:r>
          </w:p>
        </w:tc>
        <w:tc>
          <w:tcPr>
            <w:tcW w:w="949" w:type="dxa"/>
            <w:noWrap/>
            <w:vAlign w:val="bottom"/>
            <w:hideMark/>
          </w:tcPr>
          <w:p w14:paraId="0C3454B6"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6</w:t>
            </w:r>
          </w:p>
        </w:tc>
        <w:tc>
          <w:tcPr>
            <w:tcW w:w="2081" w:type="dxa"/>
            <w:noWrap/>
            <w:vAlign w:val="bottom"/>
            <w:hideMark/>
          </w:tcPr>
          <w:p w14:paraId="4EA287A2"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49</w:t>
            </w:r>
          </w:p>
        </w:tc>
        <w:tc>
          <w:tcPr>
            <w:tcW w:w="2410" w:type="dxa"/>
            <w:noWrap/>
            <w:vAlign w:val="bottom"/>
            <w:hideMark/>
          </w:tcPr>
          <w:p w14:paraId="4C3A308F"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307</w:t>
            </w:r>
          </w:p>
        </w:tc>
        <w:tc>
          <w:tcPr>
            <w:tcW w:w="2558" w:type="dxa"/>
            <w:noWrap/>
            <w:vAlign w:val="bottom"/>
            <w:hideMark/>
          </w:tcPr>
          <w:p w14:paraId="6F65CE90" w14:textId="77777777" w:rsidR="00332535" w:rsidRPr="00342B65" w:rsidRDefault="00332535" w:rsidP="00A0451C">
            <w:pPr>
              <w:spacing w:after="0" w:line="240" w:lineRule="auto"/>
              <w:jc w:val="center"/>
              <w:rPr>
                <w:rFonts w:ascii="Calibri" w:eastAsia="Times New Roman" w:hAnsi="Calibri" w:cs="Calibri"/>
                <w:color w:val="A6A6A6" w:themeColor="background1" w:themeShade="A6"/>
                <w:kern w:val="0"/>
                <w:sz w:val="20"/>
                <w:szCs w:val="20"/>
                <w:lang w:val="en-US"/>
                <w14:ligatures w14:val="none"/>
              </w:rPr>
            </w:pPr>
            <w:r w:rsidRPr="00342B65">
              <w:rPr>
                <w:rFonts w:ascii="Calibri" w:eastAsia="Times New Roman" w:hAnsi="Calibri" w:cs="Calibri"/>
                <w:color w:val="A6A6A6" w:themeColor="background1" w:themeShade="A6"/>
                <w:kern w:val="0"/>
                <w:sz w:val="20"/>
                <w:szCs w:val="20"/>
                <w:lang w:val="en-US"/>
                <w14:ligatures w14:val="none"/>
              </w:rPr>
              <w:t>-258</w:t>
            </w:r>
          </w:p>
        </w:tc>
      </w:tr>
      <w:tr w:rsidR="00332535" w:rsidRPr="00F53903" w14:paraId="53697569" w14:textId="77777777" w:rsidTr="00CF7ABB">
        <w:trPr>
          <w:trHeight w:val="288"/>
        </w:trPr>
        <w:tc>
          <w:tcPr>
            <w:tcW w:w="663" w:type="dxa"/>
            <w:noWrap/>
            <w:vAlign w:val="bottom"/>
            <w:hideMark/>
          </w:tcPr>
          <w:p w14:paraId="6AB5BB62"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58E29FED"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7</w:t>
            </w:r>
          </w:p>
        </w:tc>
        <w:tc>
          <w:tcPr>
            <w:tcW w:w="2081" w:type="dxa"/>
            <w:noWrap/>
            <w:vAlign w:val="bottom"/>
            <w:hideMark/>
          </w:tcPr>
          <w:p w14:paraId="091E3492"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343</w:t>
            </w:r>
          </w:p>
        </w:tc>
        <w:tc>
          <w:tcPr>
            <w:tcW w:w="2410" w:type="dxa"/>
            <w:noWrap/>
            <w:vAlign w:val="bottom"/>
            <w:hideMark/>
          </w:tcPr>
          <w:p w14:paraId="66D386F9"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862</w:t>
            </w:r>
          </w:p>
        </w:tc>
        <w:tc>
          <w:tcPr>
            <w:tcW w:w="2558" w:type="dxa"/>
            <w:noWrap/>
            <w:vAlign w:val="bottom"/>
            <w:hideMark/>
          </w:tcPr>
          <w:p w14:paraId="5BEDF8AA"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-519</w:t>
            </w:r>
          </w:p>
        </w:tc>
      </w:tr>
      <w:tr w:rsidR="00332535" w:rsidRPr="00F53903" w14:paraId="46A62E6C" w14:textId="77777777" w:rsidTr="00CF7ABB">
        <w:trPr>
          <w:trHeight w:val="288"/>
        </w:trPr>
        <w:tc>
          <w:tcPr>
            <w:tcW w:w="663" w:type="dxa"/>
            <w:noWrap/>
            <w:vAlign w:val="bottom"/>
            <w:hideMark/>
          </w:tcPr>
          <w:p w14:paraId="0FCA2D51"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5A392CAE"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8</w:t>
            </w:r>
          </w:p>
        </w:tc>
        <w:tc>
          <w:tcPr>
            <w:tcW w:w="2081" w:type="dxa"/>
            <w:noWrap/>
            <w:vAlign w:val="bottom"/>
            <w:hideMark/>
          </w:tcPr>
          <w:p w14:paraId="5E73E826"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321</w:t>
            </w:r>
          </w:p>
        </w:tc>
        <w:tc>
          <w:tcPr>
            <w:tcW w:w="2410" w:type="dxa"/>
            <w:noWrap/>
            <w:vAlign w:val="bottom"/>
            <w:hideMark/>
          </w:tcPr>
          <w:p w14:paraId="1F9DEAF3"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103</w:t>
            </w:r>
          </w:p>
        </w:tc>
        <w:tc>
          <w:tcPr>
            <w:tcW w:w="2558" w:type="dxa"/>
            <w:noWrap/>
            <w:vAlign w:val="bottom"/>
            <w:hideMark/>
          </w:tcPr>
          <w:p w14:paraId="084B2A66"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218</w:t>
            </w:r>
          </w:p>
        </w:tc>
      </w:tr>
      <w:tr w:rsidR="00332535" w:rsidRPr="00F53903" w14:paraId="29B0E2CD" w14:textId="77777777" w:rsidTr="00CF7ABB">
        <w:trPr>
          <w:trHeight w:val="288"/>
        </w:trPr>
        <w:tc>
          <w:tcPr>
            <w:tcW w:w="663" w:type="dxa"/>
            <w:noWrap/>
            <w:vAlign w:val="bottom"/>
            <w:hideMark/>
          </w:tcPr>
          <w:p w14:paraId="704FB4E1"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3CDB1F2A"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9</w:t>
            </w:r>
          </w:p>
        </w:tc>
        <w:tc>
          <w:tcPr>
            <w:tcW w:w="2081" w:type="dxa"/>
            <w:noWrap/>
            <w:vAlign w:val="bottom"/>
            <w:hideMark/>
          </w:tcPr>
          <w:p w14:paraId="3D4758D0"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320</w:t>
            </w:r>
          </w:p>
        </w:tc>
        <w:tc>
          <w:tcPr>
            <w:tcW w:w="2410" w:type="dxa"/>
            <w:noWrap/>
            <w:vAlign w:val="bottom"/>
            <w:hideMark/>
          </w:tcPr>
          <w:p w14:paraId="7526F322"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w:t>
            </w:r>
          </w:p>
        </w:tc>
        <w:tc>
          <w:tcPr>
            <w:tcW w:w="2558" w:type="dxa"/>
            <w:noWrap/>
            <w:vAlign w:val="bottom"/>
            <w:hideMark/>
          </w:tcPr>
          <w:p w14:paraId="724A5BCE"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319</w:t>
            </w:r>
          </w:p>
        </w:tc>
      </w:tr>
      <w:tr w:rsidR="00332535" w:rsidRPr="00F53903" w14:paraId="0B630F66" w14:textId="77777777" w:rsidTr="00CF7ABB">
        <w:trPr>
          <w:trHeight w:val="288"/>
        </w:trPr>
        <w:tc>
          <w:tcPr>
            <w:tcW w:w="663" w:type="dxa"/>
            <w:noWrap/>
            <w:vAlign w:val="bottom"/>
            <w:hideMark/>
          </w:tcPr>
          <w:p w14:paraId="01F99AC8"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5FB3A8FF"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10</w:t>
            </w:r>
          </w:p>
        </w:tc>
        <w:tc>
          <w:tcPr>
            <w:tcW w:w="2081" w:type="dxa"/>
            <w:noWrap/>
            <w:vAlign w:val="bottom"/>
            <w:hideMark/>
          </w:tcPr>
          <w:p w14:paraId="0A671D47"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310</w:t>
            </w:r>
          </w:p>
        </w:tc>
        <w:tc>
          <w:tcPr>
            <w:tcW w:w="2410" w:type="dxa"/>
            <w:noWrap/>
            <w:vAlign w:val="bottom"/>
            <w:hideMark/>
          </w:tcPr>
          <w:p w14:paraId="30DAE0B8"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36</w:t>
            </w:r>
          </w:p>
        </w:tc>
        <w:tc>
          <w:tcPr>
            <w:tcW w:w="2558" w:type="dxa"/>
            <w:noWrap/>
            <w:vAlign w:val="bottom"/>
            <w:hideMark/>
          </w:tcPr>
          <w:p w14:paraId="57EBC7F6"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274</w:t>
            </w:r>
          </w:p>
        </w:tc>
      </w:tr>
      <w:tr w:rsidR="00332535" w:rsidRPr="00F53903" w14:paraId="3D62BACF" w14:textId="77777777" w:rsidTr="00CF7ABB">
        <w:trPr>
          <w:trHeight w:val="288"/>
        </w:trPr>
        <w:tc>
          <w:tcPr>
            <w:tcW w:w="663" w:type="dxa"/>
            <w:noWrap/>
            <w:vAlign w:val="bottom"/>
            <w:hideMark/>
          </w:tcPr>
          <w:p w14:paraId="72526629"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5E26363E"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11</w:t>
            </w:r>
          </w:p>
        </w:tc>
        <w:tc>
          <w:tcPr>
            <w:tcW w:w="2081" w:type="dxa"/>
            <w:noWrap/>
            <w:vAlign w:val="bottom"/>
            <w:hideMark/>
          </w:tcPr>
          <w:p w14:paraId="7AFBD265"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320</w:t>
            </w:r>
          </w:p>
        </w:tc>
        <w:tc>
          <w:tcPr>
            <w:tcW w:w="2410" w:type="dxa"/>
            <w:noWrap/>
            <w:vAlign w:val="bottom"/>
            <w:hideMark/>
          </w:tcPr>
          <w:p w14:paraId="29C35FC8"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w:t>
            </w:r>
          </w:p>
        </w:tc>
        <w:tc>
          <w:tcPr>
            <w:tcW w:w="2558" w:type="dxa"/>
            <w:noWrap/>
            <w:vAlign w:val="bottom"/>
            <w:hideMark/>
          </w:tcPr>
          <w:p w14:paraId="473E557F"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318</w:t>
            </w:r>
          </w:p>
        </w:tc>
      </w:tr>
      <w:tr w:rsidR="00332535" w:rsidRPr="00F53903" w14:paraId="04EF61E7" w14:textId="77777777" w:rsidTr="00CF7ABB">
        <w:trPr>
          <w:trHeight w:val="288"/>
        </w:trPr>
        <w:tc>
          <w:tcPr>
            <w:tcW w:w="663" w:type="dxa"/>
            <w:noWrap/>
            <w:vAlign w:val="bottom"/>
            <w:hideMark/>
          </w:tcPr>
          <w:p w14:paraId="0FA57098" w14:textId="77777777" w:rsidR="00332535" w:rsidRPr="00F53903" w:rsidRDefault="00332535" w:rsidP="00332535">
            <w:pPr>
              <w:spacing w:after="0" w:line="240" w:lineRule="auto"/>
              <w:jc w:val="right"/>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2025</w:t>
            </w:r>
          </w:p>
        </w:tc>
        <w:tc>
          <w:tcPr>
            <w:tcW w:w="949" w:type="dxa"/>
            <w:noWrap/>
            <w:vAlign w:val="bottom"/>
            <w:hideMark/>
          </w:tcPr>
          <w:p w14:paraId="58DD1F14"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12</w:t>
            </w:r>
          </w:p>
        </w:tc>
        <w:tc>
          <w:tcPr>
            <w:tcW w:w="2081" w:type="dxa"/>
            <w:noWrap/>
            <w:vAlign w:val="bottom"/>
            <w:hideMark/>
          </w:tcPr>
          <w:p w14:paraId="35FE3462"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320</w:t>
            </w:r>
          </w:p>
        </w:tc>
        <w:tc>
          <w:tcPr>
            <w:tcW w:w="2410" w:type="dxa"/>
            <w:noWrap/>
            <w:vAlign w:val="bottom"/>
            <w:hideMark/>
          </w:tcPr>
          <w:p w14:paraId="742C5F93"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52</w:t>
            </w:r>
          </w:p>
        </w:tc>
        <w:tc>
          <w:tcPr>
            <w:tcW w:w="2558" w:type="dxa"/>
            <w:noWrap/>
            <w:vAlign w:val="bottom"/>
            <w:hideMark/>
          </w:tcPr>
          <w:p w14:paraId="655B91A5" w14:textId="77777777" w:rsidR="00332535" w:rsidRPr="00F53903" w:rsidRDefault="00332535" w:rsidP="00A0451C">
            <w:pPr>
              <w:spacing w:after="0" w:line="240" w:lineRule="auto"/>
              <w:jc w:val="center"/>
              <w:rPr>
                <w:rFonts w:ascii="Calibri" w:eastAsia="Times New Roman" w:hAnsi="Calibri" w:cs="Calibri"/>
                <w:color w:val="000000"/>
                <w:kern w:val="0"/>
                <w:sz w:val="20"/>
                <w:szCs w:val="20"/>
                <w:lang w:val="en-US"/>
                <w14:ligatures w14:val="none"/>
              </w:rPr>
            </w:pPr>
            <w:r w:rsidRPr="00F53903">
              <w:rPr>
                <w:rFonts w:ascii="Calibri" w:eastAsia="Times New Roman" w:hAnsi="Calibri" w:cs="Calibri"/>
                <w:color w:val="000000"/>
                <w:kern w:val="0"/>
                <w:sz w:val="20"/>
                <w:szCs w:val="20"/>
                <w:lang w:val="en-US"/>
                <w14:ligatures w14:val="none"/>
              </w:rPr>
              <w:t>268</w:t>
            </w:r>
          </w:p>
        </w:tc>
      </w:tr>
    </w:tbl>
    <w:p w14:paraId="07AA6AD2" w14:textId="77777777" w:rsidR="00195EB7" w:rsidRPr="00D32EDE" w:rsidRDefault="00195EB7" w:rsidP="00195EB7">
      <w:pPr>
        <w:rPr>
          <w:sz w:val="18"/>
          <w:szCs w:val="18"/>
          <w:lang w:val="en-US"/>
        </w:rPr>
      </w:pPr>
      <w:r w:rsidRPr="00D32EDE">
        <w:rPr>
          <w:sz w:val="18"/>
          <w:szCs w:val="18"/>
          <w:lang w:val="en-US"/>
        </w:rPr>
        <w:t>*</w:t>
      </w:r>
      <w:proofErr w:type="spellStart"/>
      <w:r w:rsidRPr="00D32EDE">
        <w:rPr>
          <w:sz w:val="18"/>
          <w:szCs w:val="18"/>
          <w:lang w:val="en-US"/>
        </w:rPr>
        <w:t>Estlink</w:t>
      </w:r>
      <w:proofErr w:type="spellEnd"/>
      <w:r w:rsidRPr="00D32EDE">
        <w:rPr>
          <w:sz w:val="18"/>
          <w:szCs w:val="18"/>
          <w:lang w:val="en-US"/>
        </w:rPr>
        <w:t xml:space="preserve"> 2 outage</w:t>
      </w:r>
    </w:p>
    <w:p w14:paraId="3BCFBA0D" w14:textId="2FD0A8D2" w:rsidR="00A84912" w:rsidRDefault="00A84912">
      <w:pPr>
        <w:rPr>
          <w:lang w:val="en-US"/>
        </w:rPr>
      </w:pPr>
    </w:p>
    <w:p w14:paraId="3E7A0A4E" w14:textId="69A811D0" w:rsidR="00F93C5F" w:rsidRDefault="00F93C5F" w:rsidP="00A0451C">
      <w:pPr>
        <w:jc w:val="both"/>
        <w:rPr>
          <w:lang w:val="en-US"/>
        </w:rPr>
      </w:pPr>
      <w:r w:rsidRPr="00F93C5F">
        <w:rPr>
          <w:lang w:val="en-US"/>
        </w:rPr>
        <w:t>The table</w:t>
      </w:r>
      <w:r w:rsidR="002C50A2">
        <w:rPr>
          <w:lang w:val="en-US"/>
        </w:rPr>
        <w:t>s</w:t>
      </w:r>
      <w:r w:rsidRPr="00F93C5F">
        <w:rPr>
          <w:lang w:val="en-US"/>
        </w:rPr>
        <w:t xml:space="preserve"> show significant month-to-month variation. In </w:t>
      </w:r>
      <w:proofErr w:type="gramStart"/>
      <w:r w:rsidRPr="00F93C5F">
        <w:rPr>
          <w:lang w:val="en-US"/>
        </w:rPr>
        <w:t>a majority of</w:t>
      </w:r>
      <w:proofErr w:type="gramEnd"/>
      <w:r w:rsidRPr="00F93C5F">
        <w:rPr>
          <w:lang w:val="en-US"/>
        </w:rPr>
        <w:t xml:space="preserve"> months, the b</w:t>
      </w:r>
      <w:r w:rsidR="00C748DD">
        <w:rPr>
          <w:lang w:val="en-US"/>
        </w:rPr>
        <w:t>reak-even</w:t>
      </w:r>
      <w:r w:rsidRPr="00F93C5F">
        <w:rPr>
          <w:lang w:val="en-US"/>
        </w:rPr>
        <w:t xml:space="preserve"> capacity is </w:t>
      </w:r>
      <w:r w:rsidRPr="00F93C5F">
        <w:rPr>
          <w:b/>
          <w:bCs/>
          <w:lang w:val="en-US"/>
        </w:rPr>
        <w:t>clearly below</w:t>
      </w:r>
      <w:r w:rsidRPr="00F93C5F">
        <w:rPr>
          <w:lang w:val="en-US"/>
        </w:rPr>
        <w:t xml:space="preserve"> the volume that was </w:t>
      </w:r>
      <w:proofErr w:type="gramStart"/>
      <w:r w:rsidRPr="00F93C5F">
        <w:rPr>
          <w:lang w:val="en-US"/>
        </w:rPr>
        <w:t>actually offered</w:t>
      </w:r>
      <w:proofErr w:type="gramEnd"/>
      <w:r w:rsidRPr="00F93C5F">
        <w:rPr>
          <w:lang w:val="en-US"/>
        </w:rPr>
        <w:t>, indicating recurring underselling under the simplifying assumptions used.</w:t>
      </w:r>
    </w:p>
    <w:p w14:paraId="79EEF796" w14:textId="77777777" w:rsidR="00BB5CD0" w:rsidRPr="00F93C5F" w:rsidRDefault="00BB5CD0" w:rsidP="00A0451C">
      <w:pPr>
        <w:jc w:val="both"/>
        <w:rPr>
          <w:lang w:val="en-US"/>
        </w:rPr>
      </w:pPr>
    </w:p>
    <w:p w14:paraId="2FB94288" w14:textId="186745C2" w:rsidR="00171C7E" w:rsidRDefault="00171C7E" w:rsidP="00A0451C">
      <w:pPr>
        <w:pStyle w:val="Heading2"/>
        <w:jc w:val="both"/>
        <w:rPr>
          <w:lang w:val="en-US"/>
        </w:rPr>
      </w:pPr>
      <w:r>
        <w:rPr>
          <w:lang w:val="en-US"/>
        </w:rPr>
        <w:t>Conclusions</w:t>
      </w:r>
    </w:p>
    <w:p w14:paraId="19280692" w14:textId="77777777" w:rsidR="00A12832" w:rsidRPr="00A12832" w:rsidRDefault="00A12832" w:rsidP="00A0451C">
      <w:pPr>
        <w:jc w:val="both"/>
        <w:rPr>
          <w:lang w:val="en-US"/>
        </w:rPr>
      </w:pPr>
      <w:r w:rsidRPr="00A12832">
        <w:rPr>
          <w:lang w:val="en-US"/>
        </w:rPr>
        <w:t>The analysis highlights that:</w:t>
      </w:r>
    </w:p>
    <w:p w14:paraId="2F90E103" w14:textId="066C757D" w:rsidR="00A12832" w:rsidRPr="00A12832" w:rsidRDefault="00A12832" w:rsidP="00A0451C">
      <w:pPr>
        <w:numPr>
          <w:ilvl w:val="0"/>
          <w:numId w:val="1"/>
        </w:numPr>
        <w:jc w:val="both"/>
        <w:rPr>
          <w:lang w:val="en-US"/>
        </w:rPr>
      </w:pPr>
      <w:r w:rsidRPr="00A12832">
        <w:rPr>
          <w:lang w:val="en-US"/>
        </w:rPr>
        <w:t xml:space="preserve">For </w:t>
      </w:r>
      <w:r w:rsidRPr="00A12832">
        <w:rPr>
          <w:b/>
          <w:bCs/>
          <w:lang w:val="en-US"/>
        </w:rPr>
        <w:t>yearly auctions</w:t>
      </w:r>
      <w:r w:rsidRPr="00A12832">
        <w:rPr>
          <w:lang w:val="en-US"/>
        </w:rPr>
        <w:t>, historical b</w:t>
      </w:r>
      <w:r w:rsidR="00C748DD">
        <w:rPr>
          <w:lang w:val="en-US"/>
        </w:rPr>
        <w:t>reak-even</w:t>
      </w:r>
      <w:r w:rsidRPr="00A12832">
        <w:rPr>
          <w:lang w:val="en-US"/>
        </w:rPr>
        <w:t xml:space="preserve"> volumes are well below the currently offered capacity. However, TSOs recognize the importance of ensuring sufficient yearly hedging opportunities, as emphasized by market participants</w:t>
      </w:r>
      <w:r w:rsidR="00606E52">
        <w:rPr>
          <w:lang w:val="en-US"/>
        </w:rPr>
        <w:t xml:space="preserve"> </w:t>
      </w:r>
      <w:proofErr w:type="gramStart"/>
      <w:r w:rsidR="00606E52">
        <w:rPr>
          <w:lang w:val="en-US"/>
        </w:rPr>
        <w:t>in the course of</w:t>
      </w:r>
      <w:proofErr w:type="gramEnd"/>
      <w:r w:rsidR="00606E52">
        <w:rPr>
          <w:lang w:val="en-US"/>
        </w:rPr>
        <w:t xml:space="preserve"> public consultation and moreover, Baltic market participants historically higher active successful participation on yearly product auctions</w:t>
      </w:r>
      <w:r w:rsidRPr="00A12832">
        <w:rPr>
          <w:lang w:val="en-US"/>
        </w:rPr>
        <w:t>.</w:t>
      </w:r>
    </w:p>
    <w:p w14:paraId="6414FEFD" w14:textId="3D73A9AC" w:rsidR="00B048CA" w:rsidRDefault="00A12832" w:rsidP="00A0451C">
      <w:pPr>
        <w:numPr>
          <w:ilvl w:val="0"/>
          <w:numId w:val="1"/>
        </w:numPr>
        <w:jc w:val="both"/>
        <w:rPr>
          <w:lang w:val="en-US"/>
        </w:rPr>
      </w:pPr>
      <w:r w:rsidRPr="00A12832">
        <w:rPr>
          <w:lang w:val="en-US"/>
        </w:rPr>
        <w:t xml:space="preserve">For </w:t>
      </w:r>
      <w:r w:rsidRPr="00A12832">
        <w:rPr>
          <w:b/>
          <w:bCs/>
          <w:lang w:val="en-US"/>
        </w:rPr>
        <w:t>monthly auctions</w:t>
      </w:r>
      <w:r w:rsidRPr="00A12832">
        <w:rPr>
          <w:lang w:val="en-US"/>
        </w:rPr>
        <w:t>, the b</w:t>
      </w:r>
      <w:r w:rsidR="00C748DD">
        <w:rPr>
          <w:lang w:val="en-US"/>
        </w:rPr>
        <w:t>reak-even</w:t>
      </w:r>
      <w:r w:rsidRPr="00A12832">
        <w:rPr>
          <w:lang w:val="en-US"/>
        </w:rPr>
        <w:t xml:space="preserve"> volume varies substantially across months, but in approximately two thirds of the observed months the results indicate oversupply.</w:t>
      </w:r>
    </w:p>
    <w:p w14:paraId="24918306" w14:textId="2932C1E2" w:rsidR="00195EB7" w:rsidRPr="00342B65" w:rsidRDefault="00195EB7" w:rsidP="00A0451C">
      <w:pPr>
        <w:pStyle w:val="ListParagraph"/>
        <w:numPr>
          <w:ilvl w:val="0"/>
          <w:numId w:val="1"/>
        </w:numPr>
        <w:jc w:val="both"/>
        <w:rPr>
          <w:lang w:val="en-US"/>
        </w:rPr>
      </w:pPr>
      <w:r w:rsidRPr="00342B65">
        <w:rPr>
          <w:lang w:val="en-US"/>
        </w:rPr>
        <w:lastRenderedPageBreak/>
        <w:t xml:space="preserve">The analysis is used as supporting evidence that the current capacity split can lead to systematic underselling, thereby motivating the proposed update to the splitting methodology. However, the TSOs do </w:t>
      </w:r>
      <w:r w:rsidRPr="00342B65">
        <w:rPr>
          <w:b/>
          <w:bCs/>
          <w:lang w:val="en-US"/>
        </w:rPr>
        <w:t>not</w:t>
      </w:r>
      <w:r w:rsidRPr="00342B65">
        <w:rPr>
          <w:lang w:val="en-US"/>
        </w:rPr>
        <w:t xml:space="preserve"> propose to mechanically align auction volumes with the break-even results. Instead, the TSOs propose that a cap</w:t>
      </w:r>
      <w:r w:rsidRPr="00342B65">
        <w:rPr>
          <w:lang w:val="en-US"/>
        </w:rPr>
        <w:t xml:space="preserve"> of maximum offered capacity of FI-EE FTRs</w:t>
      </w:r>
      <w:r w:rsidRPr="00342B65">
        <w:rPr>
          <w:lang w:val="en-US"/>
        </w:rPr>
        <w:t xml:space="preserve"> is set at 350 MW, corresponding to the capacity of </w:t>
      </w:r>
      <w:proofErr w:type="spellStart"/>
      <w:r w:rsidRPr="00342B65">
        <w:rPr>
          <w:lang w:val="en-US"/>
        </w:rPr>
        <w:t>Estlink</w:t>
      </w:r>
      <w:proofErr w:type="spellEnd"/>
      <w:r w:rsidRPr="00342B65">
        <w:rPr>
          <w:lang w:val="en-US"/>
        </w:rPr>
        <w:t xml:space="preserve"> 1, even if the break-even volume analysis would suggest a lower value.</w:t>
      </w:r>
    </w:p>
    <w:p w14:paraId="340AA025" w14:textId="77777777" w:rsidR="009E05E2" w:rsidRPr="001D7380" w:rsidRDefault="009E05E2">
      <w:pPr>
        <w:rPr>
          <w:lang w:val="en-US"/>
        </w:rPr>
      </w:pPr>
    </w:p>
    <w:sectPr w:rsidR="009E05E2" w:rsidRPr="001D73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B65B" w14:textId="77777777" w:rsidR="005D4E28" w:rsidRDefault="005D4E28" w:rsidP="005D4E28">
      <w:pPr>
        <w:spacing w:after="0" w:line="240" w:lineRule="auto"/>
      </w:pPr>
      <w:r>
        <w:separator/>
      </w:r>
    </w:p>
  </w:endnote>
  <w:endnote w:type="continuationSeparator" w:id="0">
    <w:p w14:paraId="48D45746" w14:textId="77777777" w:rsidR="005D4E28" w:rsidRDefault="005D4E28" w:rsidP="005D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527616"/>
      <w:docPartObj>
        <w:docPartGallery w:val="Page Numbers (Bottom of Page)"/>
        <w:docPartUnique/>
      </w:docPartObj>
    </w:sdtPr>
    <w:sdtContent>
      <w:p w14:paraId="4E053D73" w14:textId="74612A22" w:rsidR="005D4E28" w:rsidRDefault="005D4E28">
        <w:pPr>
          <w:pStyle w:val="Footer"/>
          <w:jc w:val="right"/>
        </w:pPr>
        <w:r>
          <w:fldChar w:fldCharType="begin"/>
        </w:r>
        <w:r>
          <w:instrText>PAGE   \* MERGEFORMAT</w:instrText>
        </w:r>
        <w:r>
          <w:fldChar w:fldCharType="separate"/>
        </w:r>
        <w:r>
          <w:rPr>
            <w:lang w:val="et-EE"/>
          </w:rPr>
          <w:t>2</w:t>
        </w:r>
        <w:r>
          <w:fldChar w:fldCharType="end"/>
        </w:r>
      </w:p>
    </w:sdtContent>
  </w:sdt>
  <w:p w14:paraId="50F4A385" w14:textId="77777777" w:rsidR="005D4E28" w:rsidRDefault="005D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FD6B" w14:textId="77777777" w:rsidR="005D4E28" w:rsidRDefault="005D4E28" w:rsidP="005D4E28">
      <w:pPr>
        <w:spacing w:after="0" w:line="240" w:lineRule="auto"/>
      </w:pPr>
      <w:r>
        <w:separator/>
      </w:r>
    </w:p>
  </w:footnote>
  <w:footnote w:type="continuationSeparator" w:id="0">
    <w:p w14:paraId="608BB6A8" w14:textId="77777777" w:rsidR="005D4E28" w:rsidRDefault="005D4E28" w:rsidP="005D4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757"/>
    <w:multiLevelType w:val="multilevel"/>
    <w:tmpl w:val="68E4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E4242"/>
    <w:multiLevelType w:val="multilevel"/>
    <w:tmpl w:val="431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400890">
    <w:abstractNumId w:val="0"/>
  </w:num>
  <w:num w:numId="2" w16cid:durableId="69161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80"/>
    <w:rsid w:val="00004B95"/>
    <w:rsid w:val="00007FF1"/>
    <w:rsid w:val="00026CF7"/>
    <w:rsid w:val="00033927"/>
    <w:rsid w:val="00036395"/>
    <w:rsid w:val="000412CF"/>
    <w:rsid w:val="0004706C"/>
    <w:rsid w:val="000476C7"/>
    <w:rsid w:val="0005472C"/>
    <w:rsid w:val="0005639E"/>
    <w:rsid w:val="000818E4"/>
    <w:rsid w:val="000921BB"/>
    <w:rsid w:val="000B4D4D"/>
    <w:rsid w:val="000C47D5"/>
    <w:rsid w:val="000C623C"/>
    <w:rsid w:val="000C6B24"/>
    <w:rsid w:val="000F5CA3"/>
    <w:rsid w:val="001004D1"/>
    <w:rsid w:val="00102B2A"/>
    <w:rsid w:val="00120FF6"/>
    <w:rsid w:val="0013049D"/>
    <w:rsid w:val="00130695"/>
    <w:rsid w:val="00131A97"/>
    <w:rsid w:val="00141FF3"/>
    <w:rsid w:val="00152152"/>
    <w:rsid w:val="00154B62"/>
    <w:rsid w:val="00156B56"/>
    <w:rsid w:val="00163A8E"/>
    <w:rsid w:val="00165F76"/>
    <w:rsid w:val="00171C7E"/>
    <w:rsid w:val="00180E25"/>
    <w:rsid w:val="00195EB7"/>
    <w:rsid w:val="001C32BC"/>
    <w:rsid w:val="001C375F"/>
    <w:rsid w:val="001D02C4"/>
    <w:rsid w:val="001D60A4"/>
    <w:rsid w:val="001D7380"/>
    <w:rsid w:val="001E451E"/>
    <w:rsid w:val="001E57B2"/>
    <w:rsid w:val="001F4DE3"/>
    <w:rsid w:val="00213220"/>
    <w:rsid w:val="00243284"/>
    <w:rsid w:val="002575CA"/>
    <w:rsid w:val="00266AE6"/>
    <w:rsid w:val="00267371"/>
    <w:rsid w:val="002679DB"/>
    <w:rsid w:val="002759B4"/>
    <w:rsid w:val="002B1755"/>
    <w:rsid w:val="002C196E"/>
    <w:rsid w:val="002C50A2"/>
    <w:rsid w:val="002C5C02"/>
    <w:rsid w:val="002D58E3"/>
    <w:rsid w:val="002E7394"/>
    <w:rsid w:val="003169DE"/>
    <w:rsid w:val="00317694"/>
    <w:rsid w:val="00332535"/>
    <w:rsid w:val="003371FD"/>
    <w:rsid w:val="00340FBD"/>
    <w:rsid w:val="00342B65"/>
    <w:rsid w:val="00346726"/>
    <w:rsid w:val="0036540A"/>
    <w:rsid w:val="00391F07"/>
    <w:rsid w:val="00394FFC"/>
    <w:rsid w:val="00395A8C"/>
    <w:rsid w:val="00396EE2"/>
    <w:rsid w:val="003A592C"/>
    <w:rsid w:val="003B5E79"/>
    <w:rsid w:val="003B6D3C"/>
    <w:rsid w:val="003C0A87"/>
    <w:rsid w:val="003C0D18"/>
    <w:rsid w:val="003C3B0D"/>
    <w:rsid w:val="003C439F"/>
    <w:rsid w:val="003D4FC5"/>
    <w:rsid w:val="003D5A97"/>
    <w:rsid w:val="003E692C"/>
    <w:rsid w:val="004029FB"/>
    <w:rsid w:val="00404005"/>
    <w:rsid w:val="0042021B"/>
    <w:rsid w:val="00430156"/>
    <w:rsid w:val="00447C83"/>
    <w:rsid w:val="00461DEB"/>
    <w:rsid w:val="0047614E"/>
    <w:rsid w:val="004902F8"/>
    <w:rsid w:val="004918ED"/>
    <w:rsid w:val="004A0328"/>
    <w:rsid w:val="004A39E8"/>
    <w:rsid w:val="004B5F3E"/>
    <w:rsid w:val="004C1B02"/>
    <w:rsid w:val="004E3742"/>
    <w:rsid w:val="004E5EC2"/>
    <w:rsid w:val="004F0C20"/>
    <w:rsid w:val="004F2C66"/>
    <w:rsid w:val="00513118"/>
    <w:rsid w:val="00515794"/>
    <w:rsid w:val="00517244"/>
    <w:rsid w:val="00524F43"/>
    <w:rsid w:val="00554EE1"/>
    <w:rsid w:val="00576907"/>
    <w:rsid w:val="00577D9D"/>
    <w:rsid w:val="005B47D5"/>
    <w:rsid w:val="005B7EC2"/>
    <w:rsid w:val="005D2FD7"/>
    <w:rsid w:val="005D4E28"/>
    <w:rsid w:val="005E1EAD"/>
    <w:rsid w:val="005F5D3F"/>
    <w:rsid w:val="00606E52"/>
    <w:rsid w:val="00607515"/>
    <w:rsid w:val="006220F7"/>
    <w:rsid w:val="0063189F"/>
    <w:rsid w:val="00636E26"/>
    <w:rsid w:val="006516D0"/>
    <w:rsid w:val="00655B2F"/>
    <w:rsid w:val="00661927"/>
    <w:rsid w:val="00676590"/>
    <w:rsid w:val="006C24BD"/>
    <w:rsid w:val="006E19AB"/>
    <w:rsid w:val="006E3DC4"/>
    <w:rsid w:val="006E4448"/>
    <w:rsid w:val="006E73A9"/>
    <w:rsid w:val="006F5371"/>
    <w:rsid w:val="0070670C"/>
    <w:rsid w:val="007123E4"/>
    <w:rsid w:val="00737401"/>
    <w:rsid w:val="007419D9"/>
    <w:rsid w:val="00744751"/>
    <w:rsid w:val="00750454"/>
    <w:rsid w:val="00753FD0"/>
    <w:rsid w:val="0075745E"/>
    <w:rsid w:val="007742FF"/>
    <w:rsid w:val="007A392E"/>
    <w:rsid w:val="007B5EBB"/>
    <w:rsid w:val="007B60AD"/>
    <w:rsid w:val="007D011D"/>
    <w:rsid w:val="007D5723"/>
    <w:rsid w:val="007E7652"/>
    <w:rsid w:val="007F20F7"/>
    <w:rsid w:val="007F4103"/>
    <w:rsid w:val="00801D02"/>
    <w:rsid w:val="0082227D"/>
    <w:rsid w:val="00825BBF"/>
    <w:rsid w:val="00840846"/>
    <w:rsid w:val="00866BE6"/>
    <w:rsid w:val="00866E1C"/>
    <w:rsid w:val="00875D79"/>
    <w:rsid w:val="00883FA5"/>
    <w:rsid w:val="008968C1"/>
    <w:rsid w:val="00897D7F"/>
    <w:rsid w:val="008C304F"/>
    <w:rsid w:val="008E40BC"/>
    <w:rsid w:val="008F03F2"/>
    <w:rsid w:val="008F6939"/>
    <w:rsid w:val="00902A5E"/>
    <w:rsid w:val="00910420"/>
    <w:rsid w:val="00912C14"/>
    <w:rsid w:val="00912CD4"/>
    <w:rsid w:val="00932C52"/>
    <w:rsid w:val="00933502"/>
    <w:rsid w:val="00933B5D"/>
    <w:rsid w:val="0094274F"/>
    <w:rsid w:val="00951F8B"/>
    <w:rsid w:val="009522C3"/>
    <w:rsid w:val="00962124"/>
    <w:rsid w:val="00963467"/>
    <w:rsid w:val="00967364"/>
    <w:rsid w:val="00977AF9"/>
    <w:rsid w:val="009846AE"/>
    <w:rsid w:val="0098652A"/>
    <w:rsid w:val="009A0535"/>
    <w:rsid w:val="009D4F00"/>
    <w:rsid w:val="009E05E2"/>
    <w:rsid w:val="009E2BFF"/>
    <w:rsid w:val="00A024A0"/>
    <w:rsid w:val="00A0451C"/>
    <w:rsid w:val="00A12832"/>
    <w:rsid w:val="00A13A58"/>
    <w:rsid w:val="00A14ADA"/>
    <w:rsid w:val="00A2114E"/>
    <w:rsid w:val="00A25D82"/>
    <w:rsid w:val="00A32ECE"/>
    <w:rsid w:val="00A657A2"/>
    <w:rsid w:val="00A82A77"/>
    <w:rsid w:val="00A84912"/>
    <w:rsid w:val="00A95A99"/>
    <w:rsid w:val="00A975E2"/>
    <w:rsid w:val="00A977B0"/>
    <w:rsid w:val="00A97E4B"/>
    <w:rsid w:val="00AA1D46"/>
    <w:rsid w:val="00AA2905"/>
    <w:rsid w:val="00AA3515"/>
    <w:rsid w:val="00AA6706"/>
    <w:rsid w:val="00AC0E3B"/>
    <w:rsid w:val="00AC23D6"/>
    <w:rsid w:val="00AD3FA5"/>
    <w:rsid w:val="00AE176E"/>
    <w:rsid w:val="00AE2D2E"/>
    <w:rsid w:val="00AE4D08"/>
    <w:rsid w:val="00AF1FEA"/>
    <w:rsid w:val="00AF42BB"/>
    <w:rsid w:val="00AF672C"/>
    <w:rsid w:val="00B048CA"/>
    <w:rsid w:val="00B05CCE"/>
    <w:rsid w:val="00B1109D"/>
    <w:rsid w:val="00B137C0"/>
    <w:rsid w:val="00B15C39"/>
    <w:rsid w:val="00B20B8E"/>
    <w:rsid w:val="00B22B77"/>
    <w:rsid w:val="00B33135"/>
    <w:rsid w:val="00B33640"/>
    <w:rsid w:val="00B41F52"/>
    <w:rsid w:val="00B556EF"/>
    <w:rsid w:val="00B56BCF"/>
    <w:rsid w:val="00B63FC5"/>
    <w:rsid w:val="00B707C8"/>
    <w:rsid w:val="00B714CE"/>
    <w:rsid w:val="00B72F9F"/>
    <w:rsid w:val="00B76086"/>
    <w:rsid w:val="00B80AB3"/>
    <w:rsid w:val="00B87FC0"/>
    <w:rsid w:val="00B92384"/>
    <w:rsid w:val="00BA5586"/>
    <w:rsid w:val="00BB3CAC"/>
    <w:rsid w:val="00BB5CD0"/>
    <w:rsid w:val="00BD1811"/>
    <w:rsid w:val="00BE5EDB"/>
    <w:rsid w:val="00C1181C"/>
    <w:rsid w:val="00C32E4B"/>
    <w:rsid w:val="00C353F6"/>
    <w:rsid w:val="00C37A78"/>
    <w:rsid w:val="00C47821"/>
    <w:rsid w:val="00C50FF1"/>
    <w:rsid w:val="00C52267"/>
    <w:rsid w:val="00C576E9"/>
    <w:rsid w:val="00C74833"/>
    <w:rsid w:val="00C748DD"/>
    <w:rsid w:val="00C806C2"/>
    <w:rsid w:val="00CB1F6F"/>
    <w:rsid w:val="00CC1587"/>
    <w:rsid w:val="00CC7606"/>
    <w:rsid w:val="00CD4BE4"/>
    <w:rsid w:val="00CD7CE6"/>
    <w:rsid w:val="00CE5932"/>
    <w:rsid w:val="00CF051E"/>
    <w:rsid w:val="00CF58E4"/>
    <w:rsid w:val="00CF7ABB"/>
    <w:rsid w:val="00D029ED"/>
    <w:rsid w:val="00D2089E"/>
    <w:rsid w:val="00D25A5E"/>
    <w:rsid w:val="00D25B4E"/>
    <w:rsid w:val="00D360DB"/>
    <w:rsid w:val="00D50EAD"/>
    <w:rsid w:val="00D55B1D"/>
    <w:rsid w:val="00D55F3B"/>
    <w:rsid w:val="00D6217C"/>
    <w:rsid w:val="00D707DD"/>
    <w:rsid w:val="00D71EDC"/>
    <w:rsid w:val="00D723CD"/>
    <w:rsid w:val="00D7314C"/>
    <w:rsid w:val="00D74A4A"/>
    <w:rsid w:val="00D7532E"/>
    <w:rsid w:val="00DA5B5D"/>
    <w:rsid w:val="00DD3496"/>
    <w:rsid w:val="00DD4581"/>
    <w:rsid w:val="00DE1974"/>
    <w:rsid w:val="00DE728E"/>
    <w:rsid w:val="00DF514D"/>
    <w:rsid w:val="00DF5679"/>
    <w:rsid w:val="00DF7607"/>
    <w:rsid w:val="00E02844"/>
    <w:rsid w:val="00E20345"/>
    <w:rsid w:val="00E4453D"/>
    <w:rsid w:val="00E47848"/>
    <w:rsid w:val="00E53F57"/>
    <w:rsid w:val="00E87C6C"/>
    <w:rsid w:val="00E904F4"/>
    <w:rsid w:val="00E969AC"/>
    <w:rsid w:val="00EA28C1"/>
    <w:rsid w:val="00EA580A"/>
    <w:rsid w:val="00EB1076"/>
    <w:rsid w:val="00EB2F43"/>
    <w:rsid w:val="00EB5D25"/>
    <w:rsid w:val="00EB6EA7"/>
    <w:rsid w:val="00EC7CC1"/>
    <w:rsid w:val="00ED1C3B"/>
    <w:rsid w:val="00ED396F"/>
    <w:rsid w:val="00ED59BB"/>
    <w:rsid w:val="00ED6E9B"/>
    <w:rsid w:val="00EE1E8E"/>
    <w:rsid w:val="00EF53DD"/>
    <w:rsid w:val="00F00477"/>
    <w:rsid w:val="00F03020"/>
    <w:rsid w:val="00F1045E"/>
    <w:rsid w:val="00F156D4"/>
    <w:rsid w:val="00F172D8"/>
    <w:rsid w:val="00F36F87"/>
    <w:rsid w:val="00F44189"/>
    <w:rsid w:val="00F50C7A"/>
    <w:rsid w:val="00F53903"/>
    <w:rsid w:val="00F5401B"/>
    <w:rsid w:val="00F55F40"/>
    <w:rsid w:val="00F6771B"/>
    <w:rsid w:val="00F877E6"/>
    <w:rsid w:val="00F93C5F"/>
    <w:rsid w:val="00F9474F"/>
    <w:rsid w:val="00FA7434"/>
    <w:rsid w:val="00FC08DF"/>
    <w:rsid w:val="00FC2030"/>
    <w:rsid w:val="00FC55FC"/>
    <w:rsid w:val="00FC7D4C"/>
    <w:rsid w:val="00FD341C"/>
    <w:rsid w:val="00FE10AD"/>
    <w:rsid w:val="00FE2C4E"/>
    <w:rsid w:val="00FE62A9"/>
    <w:rsid w:val="00FE67D5"/>
    <w:rsid w:val="00FF02F2"/>
    <w:rsid w:val="04670469"/>
    <w:rsid w:val="061E99B8"/>
    <w:rsid w:val="083E8430"/>
    <w:rsid w:val="08E58428"/>
    <w:rsid w:val="08FB9B5B"/>
    <w:rsid w:val="0A1CEF0E"/>
    <w:rsid w:val="0AAD1BE4"/>
    <w:rsid w:val="0ADD4873"/>
    <w:rsid w:val="0B336554"/>
    <w:rsid w:val="0C626B65"/>
    <w:rsid w:val="0CF618A6"/>
    <w:rsid w:val="0D2BB569"/>
    <w:rsid w:val="0FE4C4F2"/>
    <w:rsid w:val="10DE1914"/>
    <w:rsid w:val="1125F00C"/>
    <w:rsid w:val="116FA3ED"/>
    <w:rsid w:val="1360A784"/>
    <w:rsid w:val="14C3B077"/>
    <w:rsid w:val="14F72B0E"/>
    <w:rsid w:val="14FF1FA9"/>
    <w:rsid w:val="15001150"/>
    <w:rsid w:val="169B5D13"/>
    <w:rsid w:val="172F5A68"/>
    <w:rsid w:val="17798763"/>
    <w:rsid w:val="18E23498"/>
    <w:rsid w:val="19DB5C6A"/>
    <w:rsid w:val="1BFFECD6"/>
    <w:rsid w:val="1CC44308"/>
    <w:rsid w:val="1E0BE4D1"/>
    <w:rsid w:val="1F0CD022"/>
    <w:rsid w:val="1F5168D8"/>
    <w:rsid w:val="20665182"/>
    <w:rsid w:val="213E5DB1"/>
    <w:rsid w:val="214381D6"/>
    <w:rsid w:val="21DFA09C"/>
    <w:rsid w:val="22631AE6"/>
    <w:rsid w:val="24CAD4A5"/>
    <w:rsid w:val="276F4F05"/>
    <w:rsid w:val="2951FFC9"/>
    <w:rsid w:val="2C3CFEC5"/>
    <w:rsid w:val="2C5F8899"/>
    <w:rsid w:val="2DB045F3"/>
    <w:rsid w:val="3133AE7A"/>
    <w:rsid w:val="3331CFC9"/>
    <w:rsid w:val="344324B2"/>
    <w:rsid w:val="34E1978C"/>
    <w:rsid w:val="3609CB58"/>
    <w:rsid w:val="368D64A6"/>
    <w:rsid w:val="379AE9D4"/>
    <w:rsid w:val="380B468E"/>
    <w:rsid w:val="3888E69A"/>
    <w:rsid w:val="397FCA0A"/>
    <w:rsid w:val="3A4DA222"/>
    <w:rsid w:val="3AE4AF40"/>
    <w:rsid w:val="3BF84D75"/>
    <w:rsid w:val="3D1B9A6B"/>
    <w:rsid w:val="3D2C6E29"/>
    <w:rsid w:val="3D4E9521"/>
    <w:rsid w:val="3D8B444E"/>
    <w:rsid w:val="3DB9E91B"/>
    <w:rsid w:val="3DED68B5"/>
    <w:rsid w:val="402C67F3"/>
    <w:rsid w:val="41EEE3C7"/>
    <w:rsid w:val="43CB77AA"/>
    <w:rsid w:val="44A9CBA4"/>
    <w:rsid w:val="44B522FC"/>
    <w:rsid w:val="46B2087D"/>
    <w:rsid w:val="46FC8385"/>
    <w:rsid w:val="48E4FC7B"/>
    <w:rsid w:val="4A0D536F"/>
    <w:rsid w:val="4A9CB92F"/>
    <w:rsid w:val="4B2217E3"/>
    <w:rsid w:val="4C1B933D"/>
    <w:rsid w:val="4E516548"/>
    <w:rsid w:val="4EA7C89B"/>
    <w:rsid w:val="511592F5"/>
    <w:rsid w:val="51F986FC"/>
    <w:rsid w:val="52A6164E"/>
    <w:rsid w:val="53D84D38"/>
    <w:rsid w:val="543B09C1"/>
    <w:rsid w:val="545B704E"/>
    <w:rsid w:val="558B50D3"/>
    <w:rsid w:val="56674734"/>
    <w:rsid w:val="571ECC24"/>
    <w:rsid w:val="5CD03474"/>
    <w:rsid w:val="5F4FABAD"/>
    <w:rsid w:val="606B997D"/>
    <w:rsid w:val="62C466A9"/>
    <w:rsid w:val="62CC063F"/>
    <w:rsid w:val="64C2D34C"/>
    <w:rsid w:val="65533961"/>
    <w:rsid w:val="67106B1C"/>
    <w:rsid w:val="68C1DD58"/>
    <w:rsid w:val="690BF9AB"/>
    <w:rsid w:val="692E54D2"/>
    <w:rsid w:val="6BA0114D"/>
    <w:rsid w:val="6CE44362"/>
    <w:rsid w:val="6E14C718"/>
    <w:rsid w:val="6F372613"/>
    <w:rsid w:val="6FD4A55F"/>
    <w:rsid w:val="70BA6B09"/>
    <w:rsid w:val="72614750"/>
    <w:rsid w:val="73BD8590"/>
    <w:rsid w:val="740381E6"/>
    <w:rsid w:val="74E22AA4"/>
    <w:rsid w:val="75187A10"/>
    <w:rsid w:val="75D0A32A"/>
    <w:rsid w:val="7700866A"/>
    <w:rsid w:val="77BD7D11"/>
    <w:rsid w:val="77D493C5"/>
    <w:rsid w:val="78526E38"/>
    <w:rsid w:val="7A6F6888"/>
    <w:rsid w:val="7CE8BE85"/>
    <w:rsid w:val="7CF5C7CD"/>
    <w:rsid w:val="7EA83975"/>
    <w:rsid w:val="7F1DAB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2CBD"/>
  <w15:chartTrackingRefBased/>
  <w15:docId w15:val="{18E9EBE9-53DB-486F-822D-F677BD3D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7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7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380"/>
    <w:rPr>
      <w:rFonts w:eastAsiaTheme="majorEastAsia" w:cstheme="majorBidi"/>
      <w:color w:val="272727" w:themeColor="text1" w:themeTint="D8"/>
    </w:rPr>
  </w:style>
  <w:style w:type="paragraph" w:styleId="Title">
    <w:name w:val="Title"/>
    <w:basedOn w:val="Normal"/>
    <w:next w:val="Normal"/>
    <w:link w:val="TitleChar"/>
    <w:uiPriority w:val="10"/>
    <w:qFormat/>
    <w:rsid w:val="001D7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380"/>
    <w:pPr>
      <w:spacing w:before="160"/>
      <w:jc w:val="center"/>
    </w:pPr>
    <w:rPr>
      <w:i/>
      <w:iCs/>
      <w:color w:val="404040" w:themeColor="text1" w:themeTint="BF"/>
    </w:rPr>
  </w:style>
  <w:style w:type="character" w:customStyle="1" w:styleId="QuoteChar">
    <w:name w:val="Quote Char"/>
    <w:basedOn w:val="DefaultParagraphFont"/>
    <w:link w:val="Quote"/>
    <w:uiPriority w:val="29"/>
    <w:rsid w:val="001D7380"/>
    <w:rPr>
      <w:i/>
      <w:iCs/>
      <w:color w:val="404040" w:themeColor="text1" w:themeTint="BF"/>
    </w:rPr>
  </w:style>
  <w:style w:type="paragraph" w:styleId="ListParagraph">
    <w:name w:val="List Paragraph"/>
    <w:basedOn w:val="Normal"/>
    <w:uiPriority w:val="34"/>
    <w:qFormat/>
    <w:rsid w:val="001D7380"/>
    <w:pPr>
      <w:ind w:left="720"/>
      <w:contextualSpacing/>
    </w:pPr>
  </w:style>
  <w:style w:type="character" w:styleId="IntenseEmphasis">
    <w:name w:val="Intense Emphasis"/>
    <w:basedOn w:val="DefaultParagraphFont"/>
    <w:uiPriority w:val="21"/>
    <w:qFormat/>
    <w:rsid w:val="001D7380"/>
    <w:rPr>
      <w:i/>
      <w:iCs/>
      <w:color w:val="0F4761" w:themeColor="accent1" w:themeShade="BF"/>
    </w:rPr>
  </w:style>
  <w:style w:type="paragraph" w:styleId="IntenseQuote">
    <w:name w:val="Intense Quote"/>
    <w:basedOn w:val="Normal"/>
    <w:next w:val="Normal"/>
    <w:link w:val="IntenseQuoteChar"/>
    <w:uiPriority w:val="30"/>
    <w:qFormat/>
    <w:rsid w:val="001D7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380"/>
    <w:rPr>
      <w:i/>
      <w:iCs/>
      <w:color w:val="0F4761" w:themeColor="accent1" w:themeShade="BF"/>
    </w:rPr>
  </w:style>
  <w:style w:type="character" w:styleId="IntenseReference">
    <w:name w:val="Intense Reference"/>
    <w:basedOn w:val="DefaultParagraphFont"/>
    <w:uiPriority w:val="32"/>
    <w:qFormat/>
    <w:rsid w:val="001D7380"/>
    <w:rPr>
      <w:b/>
      <w:bCs/>
      <w:smallCaps/>
      <w:color w:val="0F4761" w:themeColor="accent1" w:themeShade="BF"/>
      <w:spacing w:val="5"/>
    </w:rPr>
  </w:style>
  <w:style w:type="table" w:styleId="TableGrid">
    <w:name w:val="Table Grid"/>
    <w:basedOn w:val="TableNormal"/>
    <w:uiPriority w:val="39"/>
    <w:rsid w:val="001D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CC1"/>
    <w:rPr>
      <w:sz w:val="16"/>
      <w:szCs w:val="16"/>
    </w:rPr>
  </w:style>
  <w:style w:type="paragraph" w:styleId="CommentText">
    <w:name w:val="annotation text"/>
    <w:basedOn w:val="Normal"/>
    <w:link w:val="CommentTextChar"/>
    <w:uiPriority w:val="99"/>
    <w:unhideWhenUsed/>
    <w:rsid w:val="00EC7CC1"/>
    <w:pPr>
      <w:spacing w:line="240" w:lineRule="auto"/>
    </w:pPr>
    <w:rPr>
      <w:sz w:val="20"/>
      <w:szCs w:val="20"/>
    </w:rPr>
  </w:style>
  <w:style w:type="character" w:customStyle="1" w:styleId="CommentTextChar">
    <w:name w:val="Comment Text Char"/>
    <w:basedOn w:val="DefaultParagraphFont"/>
    <w:link w:val="CommentText"/>
    <w:uiPriority w:val="99"/>
    <w:rsid w:val="00EC7CC1"/>
    <w:rPr>
      <w:sz w:val="20"/>
      <w:szCs w:val="20"/>
    </w:rPr>
  </w:style>
  <w:style w:type="paragraph" w:styleId="CommentSubject">
    <w:name w:val="annotation subject"/>
    <w:basedOn w:val="CommentText"/>
    <w:next w:val="CommentText"/>
    <w:link w:val="CommentSubjectChar"/>
    <w:uiPriority w:val="99"/>
    <w:semiHidden/>
    <w:unhideWhenUsed/>
    <w:rsid w:val="00EC7CC1"/>
    <w:rPr>
      <w:b/>
      <w:bCs/>
    </w:rPr>
  </w:style>
  <w:style w:type="character" w:customStyle="1" w:styleId="CommentSubjectChar">
    <w:name w:val="Comment Subject Char"/>
    <w:basedOn w:val="CommentTextChar"/>
    <w:link w:val="CommentSubject"/>
    <w:uiPriority w:val="99"/>
    <w:semiHidden/>
    <w:rsid w:val="00EC7CC1"/>
    <w:rPr>
      <w:b/>
      <w:bCs/>
      <w:sz w:val="20"/>
      <w:szCs w:val="20"/>
    </w:rPr>
  </w:style>
  <w:style w:type="paragraph" w:styleId="Caption">
    <w:name w:val="caption"/>
    <w:basedOn w:val="Normal"/>
    <w:next w:val="Normal"/>
    <w:uiPriority w:val="35"/>
    <w:unhideWhenUsed/>
    <w:qFormat/>
    <w:rsid w:val="00B76086"/>
    <w:pPr>
      <w:spacing w:after="200" w:line="240" w:lineRule="auto"/>
    </w:pPr>
    <w:rPr>
      <w:i/>
      <w:iCs/>
      <w:color w:val="0E2841" w:themeColor="text2"/>
      <w:sz w:val="18"/>
      <w:szCs w:val="18"/>
    </w:rPr>
  </w:style>
  <w:style w:type="paragraph" w:styleId="Revision">
    <w:name w:val="Revision"/>
    <w:hidden/>
    <w:uiPriority w:val="99"/>
    <w:semiHidden/>
    <w:rsid w:val="00AF42BB"/>
    <w:pPr>
      <w:spacing w:after="0" w:line="240" w:lineRule="auto"/>
    </w:pPr>
  </w:style>
  <w:style w:type="paragraph" w:styleId="Header">
    <w:name w:val="header"/>
    <w:basedOn w:val="Normal"/>
    <w:link w:val="HeaderChar"/>
    <w:uiPriority w:val="99"/>
    <w:unhideWhenUsed/>
    <w:rsid w:val="005D4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4E28"/>
  </w:style>
  <w:style w:type="paragraph" w:styleId="Footer">
    <w:name w:val="footer"/>
    <w:basedOn w:val="Normal"/>
    <w:link w:val="FooterChar"/>
    <w:uiPriority w:val="99"/>
    <w:unhideWhenUsed/>
    <w:rsid w:val="005D4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C42AFDE88A40B5DE8F8C6561BF28" ma:contentTypeVersion="18" ma:contentTypeDescription="Create a new document." ma:contentTypeScope="" ma:versionID="e2d9d6024399eb8ac463f8954cfcd3f5">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d3a8298e88b5ca5b77d5749b0ccccac6"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b60cd-b06e-4905-bb6c-c9c9a22fc250}"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364B7-98A6-49D6-A276-8303F1046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f916-cf36-4815-8f59-066548a5c626"/>
    <ds:schemaRef ds:uri="76a396e9-683e-4e80-a146-12c21ed1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4CAAB-6C4C-42FF-9F5C-510907B5B01B}">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customXml/itemProps3.xml><?xml version="1.0" encoding="utf-8"?>
<ds:datastoreItem xmlns:ds="http://schemas.openxmlformats.org/officeDocument/2006/customXml" ds:itemID="{0EBD74C1-60C8-475D-85EF-06BDD13E4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Nordström Marina</dc:creator>
  <cp:keywords/>
  <dc:description/>
  <cp:lastModifiedBy>Airi Noor</cp:lastModifiedBy>
  <cp:revision>5</cp:revision>
  <dcterms:created xsi:type="dcterms:W3CDTF">2026-03-31T07:55:00Z</dcterms:created>
  <dcterms:modified xsi:type="dcterms:W3CDTF">2026-03-31T08:34:00Z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7bd52-8c3d-43f4-bb72-02a713563db7_Enabled">
    <vt:lpwstr>true</vt:lpwstr>
  </property>
  <property fmtid="{D5CDD505-2E9C-101B-9397-08002B2CF9AE}" pid="3" name="MSIP_Label_bef7bd52-8c3d-43f4-bb72-02a713563db7_SetDate">
    <vt:lpwstr>2026-03-30T05:36:34Z</vt:lpwstr>
  </property>
  <property fmtid="{D5CDD505-2E9C-101B-9397-08002B2CF9AE}" pid="4" name="MSIP_Label_bef7bd52-8c3d-43f4-bb72-02a713563db7_Method">
    <vt:lpwstr>Privileged</vt:lpwstr>
  </property>
  <property fmtid="{D5CDD505-2E9C-101B-9397-08002B2CF9AE}" pid="5" name="MSIP_Label_bef7bd52-8c3d-43f4-bb72-02a713563db7_Name">
    <vt:lpwstr>Sisäinen</vt:lpwstr>
  </property>
  <property fmtid="{D5CDD505-2E9C-101B-9397-08002B2CF9AE}" pid="6" name="MSIP_Label_bef7bd52-8c3d-43f4-bb72-02a713563db7_SiteId">
    <vt:lpwstr>c0c8901f-430a-4c44-a3ac-11d14866905b</vt:lpwstr>
  </property>
  <property fmtid="{D5CDD505-2E9C-101B-9397-08002B2CF9AE}" pid="7" name="MSIP_Label_bef7bd52-8c3d-43f4-bb72-02a713563db7_ActionId">
    <vt:lpwstr>41a025f5-a29c-4862-a39c-537f0336cd48</vt:lpwstr>
  </property>
  <property fmtid="{D5CDD505-2E9C-101B-9397-08002B2CF9AE}" pid="8" name="MSIP_Label_bef7bd52-8c3d-43f4-bb72-02a713563db7_ContentBits">
    <vt:lpwstr>2</vt:lpwstr>
  </property>
  <property fmtid="{D5CDD505-2E9C-101B-9397-08002B2CF9AE}" pid="9" name="MSIP_Label_bef7bd52-8c3d-43f4-bb72-02a713563db7_Tag">
    <vt:lpwstr>10, 0, 1, 1</vt:lpwstr>
  </property>
  <property fmtid="{D5CDD505-2E9C-101B-9397-08002B2CF9AE}" pid="10" name="ContentTypeId">
    <vt:lpwstr>0x01010034F7C42AFDE88A40B5DE8F8C6561BF28</vt:lpwstr>
  </property>
  <property fmtid="{D5CDD505-2E9C-101B-9397-08002B2CF9AE}" pid="11" name="MediaServiceImageTags">
    <vt:lpwstr/>
  </property>
</Properties>
</file>